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0700" w14:textId="77777777" w:rsidR="00352489" w:rsidRPr="00932732" w:rsidRDefault="00352489" w:rsidP="00352489">
      <w:pPr>
        <w:jc w:val="center"/>
        <w:rPr>
          <w:rStyle w:val="BookTitle"/>
          <w:rFonts w:ascii="Cambria" w:hAnsi="Cambria"/>
          <w:sz w:val="80"/>
          <w:szCs w:val="80"/>
          <w:lang w:val="en-CA"/>
        </w:rPr>
      </w:pPr>
    </w:p>
    <w:p w14:paraId="002720C6" w14:textId="77777777" w:rsidR="005B0ED9" w:rsidRPr="00932732" w:rsidRDefault="005B0ED9" w:rsidP="005B0ED9">
      <w:pPr>
        <w:jc w:val="center"/>
        <w:rPr>
          <w:rStyle w:val="BookTitle"/>
          <w:rFonts w:ascii="Cambria" w:hAnsi="Cambria"/>
          <w:sz w:val="80"/>
          <w:szCs w:val="80"/>
          <w:lang w:val="en-CA"/>
        </w:rPr>
      </w:pPr>
      <w:r w:rsidRPr="00932732">
        <w:rPr>
          <w:rStyle w:val="BookTitle"/>
          <w:rFonts w:ascii="Cambria" w:hAnsi="Cambria"/>
          <w:sz w:val="80"/>
          <w:szCs w:val="80"/>
          <w:lang w:val="en-CA"/>
        </w:rPr>
        <w:t>The Hidden Wealth of Nations</w:t>
      </w:r>
    </w:p>
    <w:p w14:paraId="78210AB7" w14:textId="77777777" w:rsidR="005B0ED9" w:rsidRPr="00932732" w:rsidRDefault="005B0ED9" w:rsidP="005B0ED9">
      <w:pPr>
        <w:jc w:val="center"/>
        <w:rPr>
          <w:rStyle w:val="BookTitle"/>
          <w:rFonts w:ascii="Cambria" w:hAnsi="Cambria"/>
          <w:sz w:val="48"/>
          <w:szCs w:val="48"/>
          <w:lang w:val="en-CA"/>
        </w:rPr>
      </w:pPr>
    </w:p>
    <w:p w14:paraId="26A516EE" w14:textId="77777777" w:rsidR="005B0ED9" w:rsidRPr="00932732" w:rsidRDefault="005B0ED9" w:rsidP="005B0ED9">
      <w:pPr>
        <w:jc w:val="center"/>
        <w:rPr>
          <w:rStyle w:val="BookTitle"/>
          <w:rFonts w:ascii="Cambria" w:hAnsi="Cambria"/>
          <w:sz w:val="48"/>
          <w:szCs w:val="48"/>
          <w:lang w:val="en-CA"/>
        </w:rPr>
      </w:pPr>
      <w:r w:rsidRPr="00932732">
        <w:rPr>
          <w:rStyle w:val="BookTitle"/>
          <w:rFonts w:ascii="Cambria" w:hAnsi="Cambria"/>
          <w:sz w:val="48"/>
          <w:szCs w:val="48"/>
          <w:lang w:val="en-CA"/>
        </w:rPr>
        <w:t>Online Appendix – September 2015</w:t>
      </w:r>
    </w:p>
    <w:p w14:paraId="266D617C" w14:textId="77777777" w:rsidR="005B0ED9" w:rsidRPr="00932732" w:rsidRDefault="005B0ED9" w:rsidP="005B0ED9">
      <w:pPr>
        <w:jc w:val="center"/>
        <w:rPr>
          <w:rStyle w:val="BookTitle"/>
          <w:rFonts w:ascii="Cambria" w:hAnsi="Cambria"/>
          <w:sz w:val="50"/>
          <w:szCs w:val="50"/>
          <w:lang w:val="en-CA"/>
        </w:rPr>
      </w:pPr>
    </w:p>
    <w:p w14:paraId="4D418E4A" w14:textId="77777777" w:rsidR="005B0ED9" w:rsidRPr="00932732" w:rsidRDefault="005B0ED9" w:rsidP="005B0ED9">
      <w:pPr>
        <w:jc w:val="center"/>
        <w:rPr>
          <w:rStyle w:val="BookTitle"/>
          <w:rFonts w:ascii="Cambria" w:hAnsi="Cambria"/>
          <w:sz w:val="50"/>
          <w:szCs w:val="50"/>
          <w:lang w:val="en-CA"/>
        </w:rPr>
      </w:pPr>
    </w:p>
    <w:p w14:paraId="66FC8838" w14:textId="77777777" w:rsidR="005B0ED9" w:rsidRPr="00932732" w:rsidRDefault="005B0ED9" w:rsidP="005B0ED9">
      <w:pPr>
        <w:jc w:val="center"/>
        <w:rPr>
          <w:rStyle w:val="BookTitle"/>
          <w:rFonts w:ascii="Cambria" w:hAnsi="Cambria"/>
          <w:sz w:val="40"/>
          <w:szCs w:val="40"/>
          <w:lang w:val="en-CA"/>
        </w:rPr>
      </w:pPr>
      <w:r w:rsidRPr="00932732">
        <w:rPr>
          <w:rStyle w:val="BookTitle"/>
          <w:rFonts w:ascii="Cambria" w:hAnsi="Cambria"/>
          <w:sz w:val="40"/>
          <w:szCs w:val="40"/>
          <w:lang w:val="en-CA"/>
        </w:rPr>
        <w:t>Gabriel Zucman</w:t>
      </w:r>
    </w:p>
    <w:p w14:paraId="0102B64C" w14:textId="77777777" w:rsidR="005B0ED9" w:rsidRPr="00932732" w:rsidRDefault="005B0ED9" w:rsidP="005B0ED9">
      <w:pPr>
        <w:jc w:val="center"/>
        <w:rPr>
          <w:rStyle w:val="BookTitle"/>
          <w:rFonts w:ascii="Cambria" w:hAnsi="Cambria"/>
          <w:sz w:val="50"/>
          <w:szCs w:val="50"/>
          <w:lang w:val="en-CA"/>
        </w:rPr>
      </w:pPr>
    </w:p>
    <w:p w14:paraId="7AD291E5" w14:textId="77777777" w:rsidR="00352489" w:rsidRPr="00932732" w:rsidRDefault="00352489" w:rsidP="00352489">
      <w:pPr>
        <w:jc w:val="both"/>
        <w:rPr>
          <w:rFonts w:ascii="Cambria" w:hAnsi="Cambria" w:cs="Baskerville"/>
          <w:lang w:val="en-CA" w:eastAsia="ja-JP"/>
        </w:rPr>
      </w:pPr>
    </w:p>
    <w:p w14:paraId="60182EF0" w14:textId="77777777" w:rsidR="005B0ED9" w:rsidRPr="00932732" w:rsidRDefault="005B0ED9" w:rsidP="00352489">
      <w:pPr>
        <w:jc w:val="both"/>
        <w:rPr>
          <w:rFonts w:ascii="Cambria" w:hAnsi="Cambria" w:cs="Baskerville"/>
          <w:lang w:val="en-CA" w:eastAsia="ja-JP"/>
        </w:rPr>
      </w:pPr>
    </w:p>
    <w:p w14:paraId="1ACDA946" w14:textId="5EE39993" w:rsidR="005B0ED9" w:rsidRPr="00932732" w:rsidRDefault="005B0ED9">
      <w:pPr>
        <w:spacing w:line="240" w:lineRule="auto"/>
        <w:rPr>
          <w:rFonts w:ascii="Cambria" w:hAnsi="Cambria" w:cs="Baskerville"/>
          <w:lang w:val="en-CA" w:eastAsia="ja-JP"/>
        </w:rPr>
      </w:pPr>
      <w:r w:rsidRPr="00932732">
        <w:rPr>
          <w:rFonts w:ascii="Cambria" w:hAnsi="Cambria" w:cs="Baskerville"/>
          <w:lang w:val="en-CA" w:eastAsia="ja-JP"/>
        </w:rPr>
        <w:br w:type="page"/>
      </w:r>
    </w:p>
    <w:p w14:paraId="5C87909D" w14:textId="77777777" w:rsidR="005B0ED9" w:rsidRPr="00932732" w:rsidRDefault="005B0ED9" w:rsidP="00352489">
      <w:pPr>
        <w:jc w:val="both"/>
        <w:rPr>
          <w:rFonts w:ascii="Cambria" w:hAnsi="Cambria" w:cs="Baskerville"/>
          <w:lang w:val="en-CA" w:eastAsia="ja-JP"/>
        </w:rPr>
      </w:pPr>
    </w:p>
    <w:p w14:paraId="7B33E5F7" w14:textId="77777777" w:rsidR="00352489" w:rsidRPr="00932732" w:rsidRDefault="00352489" w:rsidP="00352489">
      <w:pPr>
        <w:jc w:val="both"/>
        <w:rPr>
          <w:rFonts w:ascii="Cambria" w:hAnsi="Cambria" w:cs="Baskerville"/>
          <w:lang w:val="en-CA" w:eastAsia="ja-JP"/>
        </w:rPr>
      </w:pPr>
    </w:p>
    <w:p w14:paraId="57DE2AD1" w14:textId="3EE5B728" w:rsidR="005B0ED9" w:rsidRPr="00932732" w:rsidRDefault="005B0ED9" w:rsidP="005B0ED9">
      <w:pPr>
        <w:jc w:val="both"/>
        <w:rPr>
          <w:rFonts w:ascii="Cambria" w:hAnsi="Cambria" w:cs="Baskerville"/>
          <w:lang w:val="en-CA" w:eastAsia="ja-JP"/>
        </w:rPr>
      </w:pPr>
      <w:r w:rsidRPr="00932732">
        <w:rPr>
          <w:rFonts w:ascii="Cambria" w:hAnsi="Cambria" w:cs="Baskerville"/>
          <w:lang w:val="en-CA" w:eastAsia="ja-JP"/>
        </w:rPr>
        <w:t xml:space="preserve">This appendix describes the sources used in my book </w:t>
      </w:r>
      <w:r w:rsidRPr="00932732">
        <w:rPr>
          <w:rFonts w:ascii="Cambria" w:hAnsi="Cambria" w:cs="Baskerville"/>
          <w:i/>
          <w:lang w:val="en-CA" w:eastAsia="ja-JP"/>
        </w:rPr>
        <w:t>The Hidden Wealth of Nations</w:t>
      </w:r>
      <w:r w:rsidRPr="00932732">
        <w:rPr>
          <w:rFonts w:ascii="Cambria" w:hAnsi="Cambria" w:cs="Baskerville"/>
          <w:lang w:val="en-CA" w:eastAsia="ja-JP"/>
        </w:rPr>
        <w:t xml:space="preserve"> and provides all relevant details on the computations made in the book. This Appendix is supplemented by a set of Excel files a</w:t>
      </w:r>
      <w:r w:rsidR="00A473F3" w:rsidRPr="00932732">
        <w:rPr>
          <w:rFonts w:ascii="Cambria" w:hAnsi="Cambria" w:cs="Baskerville"/>
          <w:lang w:val="en-CA" w:eastAsia="ja-JP"/>
        </w:rPr>
        <w:t xml:space="preserve">vailable online at </w:t>
      </w:r>
      <w:hyperlink r:id="rId7" w:history="1">
        <w:r w:rsidR="00A473F3" w:rsidRPr="00932732">
          <w:rPr>
            <w:rStyle w:val="Hyperlink"/>
            <w:rFonts w:ascii="Cambria" w:hAnsi="Cambria" w:cs="Baskerville"/>
            <w:lang w:val="en-CA" w:eastAsia="ja-JP"/>
          </w:rPr>
          <w:t>http://gabriel-zucman.eu/hidden-wealth/</w:t>
        </w:r>
      </w:hyperlink>
      <w:r w:rsidR="00A473F3" w:rsidRPr="00932732">
        <w:rPr>
          <w:rFonts w:ascii="Cambria" w:hAnsi="Cambria" w:cs="Baskerville"/>
          <w:lang w:val="en-CA" w:eastAsia="ja-JP"/>
        </w:rPr>
        <w:t xml:space="preserve"> </w:t>
      </w:r>
    </w:p>
    <w:p w14:paraId="33A1AE24" w14:textId="77777777" w:rsidR="00352489" w:rsidRPr="00932732" w:rsidRDefault="00352489" w:rsidP="00352489">
      <w:pPr>
        <w:jc w:val="both"/>
        <w:rPr>
          <w:rFonts w:ascii="Cambria" w:hAnsi="Cambria" w:cs="Baskerville"/>
          <w:lang w:val="en-CA" w:eastAsia="ja-JP"/>
        </w:rPr>
      </w:pPr>
    </w:p>
    <w:p w14:paraId="25F99430" w14:textId="77777777" w:rsidR="00807A87" w:rsidRPr="00932732" w:rsidRDefault="00807A87" w:rsidP="00352489">
      <w:pPr>
        <w:jc w:val="both"/>
        <w:rPr>
          <w:rFonts w:ascii="Cambria" w:hAnsi="Cambria" w:cs="Baskerville"/>
          <w:lang w:val="en-CA" w:eastAsia="ja-JP"/>
        </w:rPr>
      </w:pPr>
    </w:p>
    <w:p w14:paraId="1B8DC9E9" w14:textId="77777777" w:rsidR="00CA08E0" w:rsidRPr="00932732" w:rsidRDefault="00CA08E0" w:rsidP="00352489">
      <w:pPr>
        <w:jc w:val="both"/>
        <w:rPr>
          <w:rFonts w:ascii="Cambria" w:hAnsi="Cambria" w:cs="Baskerville"/>
          <w:lang w:val="en-CA" w:eastAsia="ja-JP"/>
        </w:rPr>
      </w:pPr>
    </w:p>
    <w:p w14:paraId="4ECA6026" w14:textId="77777777" w:rsidR="00866E23" w:rsidRPr="00932732" w:rsidRDefault="008923E1">
      <w:pPr>
        <w:pStyle w:val="TOC1"/>
        <w:tabs>
          <w:tab w:val="right" w:leader="dot" w:pos="9396"/>
        </w:tabs>
        <w:rPr>
          <w:rFonts w:ascii="Cambria" w:eastAsiaTheme="minorEastAsia" w:hAnsi="Cambria" w:cstheme="minorBidi"/>
          <w:b w:val="0"/>
          <w:noProof/>
          <w:lang w:val="en-US" w:eastAsia="en-US" w:bidi="ar-SA"/>
        </w:rPr>
      </w:pPr>
      <w:r w:rsidRPr="00932732">
        <w:rPr>
          <w:rFonts w:ascii="Cambria" w:hAnsi="Cambria" w:cs="Baskerville"/>
          <w:b w:val="0"/>
          <w:lang w:val="en-CA" w:eastAsia="ja-JP"/>
        </w:rPr>
        <w:fldChar w:fldCharType="begin"/>
      </w:r>
      <w:r w:rsidRPr="00932732">
        <w:rPr>
          <w:rFonts w:ascii="Cambria" w:hAnsi="Cambria" w:cs="Baskerville"/>
          <w:b w:val="0"/>
          <w:lang w:val="en-CA" w:eastAsia="ja-JP"/>
        </w:rPr>
        <w:instrText xml:space="preserve"> TOC \o "1-3" </w:instrText>
      </w:r>
      <w:r w:rsidRPr="00932732">
        <w:rPr>
          <w:rFonts w:ascii="Cambria" w:hAnsi="Cambria" w:cs="Baskerville"/>
          <w:b w:val="0"/>
          <w:lang w:val="en-CA" w:eastAsia="ja-JP"/>
        </w:rPr>
        <w:fldChar w:fldCharType="separate"/>
      </w:r>
      <w:r w:rsidR="00866E23" w:rsidRPr="00932732">
        <w:rPr>
          <w:rFonts w:ascii="Cambria" w:hAnsi="Cambria"/>
          <w:b w:val="0"/>
          <w:noProof/>
          <w:lang w:val="en-CA" w:eastAsia="ja-JP"/>
        </w:rPr>
        <w:t>Chapter 1: A Century of Offshore Finance</w:t>
      </w:r>
      <w:r w:rsidR="00866E23" w:rsidRPr="00932732">
        <w:rPr>
          <w:rFonts w:ascii="Cambria" w:hAnsi="Cambria"/>
          <w:b w:val="0"/>
          <w:noProof/>
        </w:rPr>
        <w:tab/>
      </w:r>
      <w:r w:rsidR="00866E23" w:rsidRPr="00932732">
        <w:rPr>
          <w:rFonts w:ascii="Cambria" w:hAnsi="Cambria"/>
          <w:b w:val="0"/>
          <w:noProof/>
        </w:rPr>
        <w:fldChar w:fldCharType="begin"/>
      </w:r>
      <w:r w:rsidR="00866E23" w:rsidRPr="00932732">
        <w:rPr>
          <w:rFonts w:ascii="Cambria" w:hAnsi="Cambria"/>
          <w:b w:val="0"/>
          <w:noProof/>
        </w:rPr>
        <w:instrText xml:space="preserve"> PAGEREF _Toc430261415 \h </w:instrText>
      </w:r>
      <w:r w:rsidR="00866E23" w:rsidRPr="00932732">
        <w:rPr>
          <w:rFonts w:ascii="Cambria" w:hAnsi="Cambria"/>
          <w:b w:val="0"/>
          <w:noProof/>
        </w:rPr>
      </w:r>
      <w:r w:rsidR="00866E23" w:rsidRPr="00932732">
        <w:rPr>
          <w:rFonts w:ascii="Cambria" w:hAnsi="Cambria"/>
          <w:b w:val="0"/>
          <w:noProof/>
        </w:rPr>
        <w:fldChar w:fldCharType="separate"/>
      </w:r>
      <w:r w:rsidR="00866E23" w:rsidRPr="00932732">
        <w:rPr>
          <w:rFonts w:ascii="Cambria" w:hAnsi="Cambria"/>
          <w:b w:val="0"/>
          <w:noProof/>
        </w:rPr>
        <w:t>3</w:t>
      </w:r>
      <w:r w:rsidR="00866E23" w:rsidRPr="00932732">
        <w:rPr>
          <w:rFonts w:ascii="Cambria" w:hAnsi="Cambria"/>
          <w:b w:val="0"/>
          <w:noProof/>
        </w:rPr>
        <w:fldChar w:fldCharType="end"/>
      </w:r>
    </w:p>
    <w:p w14:paraId="44D77A08"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Data from the Volcker and Bergier Commissions</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_Toc430261416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3</w:t>
      </w:r>
      <w:r w:rsidRPr="00932732">
        <w:rPr>
          <w:rFonts w:ascii="Cambria" w:hAnsi="Cambria"/>
          <w:b w:val="0"/>
          <w:noProof/>
        </w:rPr>
        <w:fldChar w:fldCharType="end"/>
      </w:r>
    </w:p>
    <w:p w14:paraId="197151C9"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Official Swiss National Bank data</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_Toc430261417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5</w:t>
      </w:r>
      <w:r w:rsidRPr="00932732">
        <w:rPr>
          <w:rFonts w:ascii="Cambria" w:hAnsi="Cambria"/>
          <w:b w:val="0"/>
          <w:noProof/>
        </w:rPr>
        <w:fldChar w:fldCharType="end"/>
      </w:r>
    </w:p>
    <w:p w14:paraId="2B5B4D6F" w14:textId="77777777" w:rsidR="00866E23" w:rsidRPr="00932732" w:rsidRDefault="00866E23">
      <w:pPr>
        <w:pStyle w:val="TOC1"/>
        <w:tabs>
          <w:tab w:val="right" w:leader="dot" w:pos="9396"/>
        </w:tabs>
        <w:rPr>
          <w:rFonts w:ascii="Cambria" w:eastAsiaTheme="minorEastAsia" w:hAnsi="Cambria" w:cstheme="minorBidi"/>
          <w:b w:val="0"/>
          <w:noProof/>
          <w:lang w:val="en-US" w:eastAsia="en-US" w:bidi="ar-SA"/>
        </w:rPr>
      </w:pPr>
      <w:r w:rsidRPr="00932732">
        <w:rPr>
          <w:rFonts w:ascii="Cambria" w:hAnsi="Cambria"/>
          <w:b w:val="0"/>
          <w:noProof/>
          <w:lang w:val="en-CA" w:eastAsia="ja-JP"/>
        </w:rPr>
        <w:t>Chapter 2: The Missing Wealth of Nations</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_Toc430261418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12</w:t>
      </w:r>
      <w:r w:rsidRPr="00932732">
        <w:rPr>
          <w:rFonts w:ascii="Cambria" w:hAnsi="Cambria"/>
          <w:b w:val="0"/>
          <w:noProof/>
        </w:rPr>
        <w:fldChar w:fldCharType="end"/>
      </w:r>
    </w:p>
    <w:p w14:paraId="68B664C0"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Update of Zucman. G “Missing Wealth of Nations” (QJE’2013)</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_Toc430261419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12</w:t>
      </w:r>
      <w:r w:rsidRPr="00932732">
        <w:rPr>
          <w:rFonts w:ascii="Cambria" w:hAnsi="Cambria"/>
          <w:b w:val="0"/>
          <w:noProof/>
        </w:rPr>
        <w:fldChar w:fldCharType="end"/>
      </w:r>
    </w:p>
    <w:p w14:paraId="38441A41"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World income and financial wealth in 2013</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_Toc430261420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12</w:t>
      </w:r>
      <w:r w:rsidRPr="00932732">
        <w:rPr>
          <w:rFonts w:ascii="Cambria" w:hAnsi="Cambria"/>
          <w:b w:val="0"/>
          <w:noProof/>
        </w:rPr>
        <w:fldChar w:fldCharType="end"/>
      </w:r>
    </w:p>
    <w:p w14:paraId="27AFF6CC"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BIS data on offshore bank deposits</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_Toc430261421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13</w:t>
      </w:r>
      <w:r w:rsidRPr="00932732">
        <w:rPr>
          <w:rFonts w:ascii="Cambria" w:hAnsi="Cambria"/>
          <w:b w:val="0"/>
          <w:noProof/>
        </w:rPr>
        <w:fldChar w:fldCharType="end"/>
      </w:r>
    </w:p>
    <w:p w14:paraId="249BB904"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Currency in circulation globally</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_Toc430261422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13</w:t>
      </w:r>
      <w:r w:rsidRPr="00932732">
        <w:rPr>
          <w:rFonts w:ascii="Cambria" w:hAnsi="Cambria"/>
          <w:b w:val="0"/>
          <w:noProof/>
        </w:rPr>
        <w:fldChar w:fldCharType="end"/>
      </w:r>
    </w:p>
    <w:p w14:paraId="05159E2E"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Fraction of offshore wealth which is not declared on tax returns</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_Toc430261423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14</w:t>
      </w:r>
      <w:r w:rsidRPr="00932732">
        <w:rPr>
          <w:rFonts w:ascii="Cambria" w:hAnsi="Cambria"/>
          <w:b w:val="0"/>
          <w:noProof/>
        </w:rPr>
        <w:fldChar w:fldCharType="end"/>
      </w:r>
    </w:p>
    <w:p w14:paraId="29620861"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Mutual fund returns</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_Toc430261424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15</w:t>
      </w:r>
      <w:r w:rsidRPr="00932732">
        <w:rPr>
          <w:rFonts w:ascii="Cambria" w:hAnsi="Cambria"/>
          <w:b w:val="0"/>
          <w:noProof/>
        </w:rPr>
        <w:fldChar w:fldCharType="end"/>
      </w:r>
    </w:p>
    <w:p w14:paraId="30E83786" w14:textId="77777777" w:rsidR="00866E23" w:rsidRPr="00932732" w:rsidRDefault="00866E23">
      <w:pPr>
        <w:pStyle w:val="TOC1"/>
        <w:tabs>
          <w:tab w:val="right" w:leader="dot" w:pos="9396"/>
        </w:tabs>
        <w:rPr>
          <w:rFonts w:ascii="Cambria" w:eastAsiaTheme="minorEastAsia" w:hAnsi="Cambria" w:cstheme="minorBidi"/>
          <w:b w:val="0"/>
          <w:noProof/>
          <w:lang w:val="en-US" w:eastAsia="en-US" w:bidi="ar-SA"/>
        </w:rPr>
      </w:pPr>
      <w:r w:rsidRPr="00932732">
        <w:rPr>
          <w:rFonts w:ascii="Cambria" w:hAnsi="Cambria"/>
          <w:b w:val="0"/>
          <w:noProof/>
          <w:lang w:val="en-CA" w:eastAsia="ja-JP"/>
        </w:rPr>
        <w:t>Chapter 3: Mistakes</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_Toc430261425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16</w:t>
      </w:r>
      <w:r w:rsidRPr="00932732">
        <w:rPr>
          <w:rFonts w:ascii="Cambria" w:hAnsi="Cambria"/>
          <w:b w:val="0"/>
          <w:noProof/>
        </w:rPr>
        <w:fldChar w:fldCharType="end"/>
      </w:r>
    </w:p>
    <w:p w14:paraId="57A6D1B1"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The birth of automatic exchange of bank information.</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_Toc430261426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16</w:t>
      </w:r>
      <w:r w:rsidRPr="00932732">
        <w:rPr>
          <w:rFonts w:ascii="Cambria" w:hAnsi="Cambria"/>
          <w:b w:val="0"/>
          <w:noProof/>
        </w:rPr>
        <w:fldChar w:fldCharType="end"/>
      </w:r>
    </w:p>
    <w:p w14:paraId="35C74E1D"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The Saving Tax Directive</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_Toc430261427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16</w:t>
      </w:r>
      <w:r w:rsidRPr="00932732">
        <w:rPr>
          <w:rFonts w:ascii="Cambria" w:hAnsi="Cambria"/>
          <w:b w:val="0"/>
          <w:noProof/>
        </w:rPr>
        <w:fldChar w:fldCharType="end"/>
      </w:r>
    </w:p>
    <w:p w14:paraId="3A0C8E12" w14:textId="77777777" w:rsidR="00866E23" w:rsidRPr="00932732" w:rsidRDefault="00866E23">
      <w:pPr>
        <w:pStyle w:val="TOC1"/>
        <w:tabs>
          <w:tab w:val="right" w:leader="dot" w:pos="9396"/>
        </w:tabs>
        <w:rPr>
          <w:rFonts w:ascii="Cambria" w:eastAsiaTheme="minorEastAsia" w:hAnsi="Cambria" w:cstheme="minorBidi"/>
          <w:b w:val="0"/>
          <w:noProof/>
          <w:lang w:val="en-US" w:eastAsia="en-US" w:bidi="ar-SA"/>
        </w:rPr>
      </w:pPr>
      <w:r w:rsidRPr="00932732">
        <w:rPr>
          <w:rFonts w:ascii="Cambria" w:hAnsi="Cambria"/>
          <w:b w:val="0"/>
          <w:noProof/>
          <w:lang w:val="en-CA" w:eastAsia="ja-JP"/>
        </w:rPr>
        <w:t>Chapter 4: What to do? A New Approach</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_Toc430261428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17</w:t>
      </w:r>
      <w:r w:rsidRPr="00932732">
        <w:rPr>
          <w:rFonts w:ascii="Cambria" w:hAnsi="Cambria"/>
          <w:b w:val="0"/>
          <w:noProof/>
        </w:rPr>
        <w:fldChar w:fldCharType="end"/>
      </w:r>
    </w:p>
    <w:p w14:paraId="0EB312B9"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Data on the Luxembourg Economy (in French)</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_Toc430261429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17</w:t>
      </w:r>
      <w:r w:rsidRPr="00932732">
        <w:rPr>
          <w:rFonts w:ascii="Cambria" w:hAnsi="Cambria"/>
          <w:b w:val="0"/>
          <w:noProof/>
        </w:rPr>
        <w:fldChar w:fldCharType="end"/>
      </w:r>
    </w:p>
    <w:p w14:paraId="06E1EFF1" w14:textId="77777777" w:rsidR="00866E23" w:rsidRPr="00932732" w:rsidRDefault="00866E23">
      <w:pPr>
        <w:pStyle w:val="TOC2"/>
        <w:tabs>
          <w:tab w:val="right" w:leader="dot" w:pos="9396"/>
        </w:tabs>
        <w:rPr>
          <w:rFonts w:ascii="Cambria" w:eastAsiaTheme="minorEastAsia" w:hAnsi="Cambria" w:cstheme="minorBidi"/>
          <w:b w:val="0"/>
          <w:noProof/>
          <w:sz w:val="24"/>
          <w:szCs w:val="24"/>
          <w:lang w:val="en-US" w:eastAsia="en-US" w:bidi="ar-SA"/>
        </w:rPr>
      </w:pPr>
      <w:r w:rsidRPr="00932732">
        <w:rPr>
          <w:rFonts w:ascii="Cambria" w:hAnsi="Cambria"/>
          <w:b w:val="0"/>
          <w:noProof/>
          <w:lang w:val="en-CA" w:eastAsia="ja-JP"/>
        </w:rPr>
        <w:t>Supplementary Data on Luxembourg</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_Toc430261430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19</w:t>
      </w:r>
      <w:r w:rsidRPr="00932732">
        <w:rPr>
          <w:rFonts w:ascii="Cambria" w:hAnsi="Cambria"/>
          <w:b w:val="0"/>
          <w:noProof/>
        </w:rPr>
        <w:fldChar w:fldCharType="end"/>
      </w:r>
    </w:p>
    <w:p w14:paraId="24BEB4E3" w14:textId="77777777" w:rsidR="00866E23" w:rsidRPr="00932732" w:rsidRDefault="00866E23">
      <w:pPr>
        <w:pStyle w:val="TOC1"/>
        <w:tabs>
          <w:tab w:val="right" w:leader="dot" w:pos="9396"/>
        </w:tabs>
        <w:rPr>
          <w:rFonts w:ascii="Cambria" w:eastAsiaTheme="minorEastAsia" w:hAnsi="Cambria" w:cstheme="minorBidi"/>
          <w:b w:val="0"/>
          <w:noProof/>
          <w:lang w:val="en-US" w:eastAsia="en-US" w:bidi="ar-SA"/>
        </w:rPr>
      </w:pPr>
      <w:r w:rsidRPr="00932732">
        <w:rPr>
          <w:rFonts w:ascii="Cambria" w:hAnsi="Cambria"/>
          <w:b w:val="0"/>
          <w:noProof/>
          <w:lang w:val="en-CA" w:eastAsia="ja-JP"/>
        </w:rPr>
        <w:t>Errata</w:t>
      </w:r>
      <w:r w:rsidRPr="00932732">
        <w:rPr>
          <w:rFonts w:ascii="Cambria" w:hAnsi="Cambria"/>
          <w:b w:val="0"/>
          <w:noProof/>
        </w:rPr>
        <w:tab/>
      </w:r>
      <w:r w:rsidRPr="00932732">
        <w:rPr>
          <w:rFonts w:ascii="Cambria" w:hAnsi="Cambria"/>
          <w:b w:val="0"/>
          <w:noProof/>
        </w:rPr>
        <w:fldChar w:fldCharType="begin"/>
      </w:r>
      <w:r w:rsidRPr="00932732">
        <w:rPr>
          <w:rFonts w:ascii="Cambria" w:hAnsi="Cambria"/>
          <w:b w:val="0"/>
          <w:noProof/>
        </w:rPr>
        <w:instrText xml:space="preserve"> PAGEREF _Toc430261431 \h </w:instrText>
      </w:r>
      <w:r w:rsidRPr="00932732">
        <w:rPr>
          <w:rFonts w:ascii="Cambria" w:hAnsi="Cambria"/>
          <w:b w:val="0"/>
          <w:noProof/>
        </w:rPr>
      </w:r>
      <w:r w:rsidRPr="00932732">
        <w:rPr>
          <w:rFonts w:ascii="Cambria" w:hAnsi="Cambria"/>
          <w:b w:val="0"/>
          <w:noProof/>
        </w:rPr>
        <w:fldChar w:fldCharType="separate"/>
      </w:r>
      <w:r w:rsidRPr="00932732">
        <w:rPr>
          <w:rFonts w:ascii="Cambria" w:hAnsi="Cambria"/>
          <w:b w:val="0"/>
          <w:noProof/>
        </w:rPr>
        <w:t>21</w:t>
      </w:r>
      <w:r w:rsidRPr="00932732">
        <w:rPr>
          <w:rFonts w:ascii="Cambria" w:hAnsi="Cambria"/>
          <w:b w:val="0"/>
          <w:noProof/>
        </w:rPr>
        <w:fldChar w:fldCharType="end"/>
      </w:r>
    </w:p>
    <w:p w14:paraId="5F279F27" w14:textId="77777777" w:rsidR="008923E1" w:rsidRPr="00932732" w:rsidRDefault="008923E1" w:rsidP="00352489">
      <w:pPr>
        <w:jc w:val="both"/>
        <w:rPr>
          <w:rFonts w:ascii="Cambria" w:hAnsi="Cambria" w:cs="Baskerville"/>
          <w:lang w:val="en-CA" w:eastAsia="ja-JP"/>
        </w:rPr>
      </w:pPr>
      <w:r w:rsidRPr="00932732">
        <w:rPr>
          <w:rFonts w:ascii="Cambria" w:hAnsi="Cambria" w:cs="Baskerville"/>
          <w:lang w:val="en-CA" w:eastAsia="ja-JP"/>
        </w:rPr>
        <w:fldChar w:fldCharType="end"/>
      </w:r>
    </w:p>
    <w:p w14:paraId="5CA27A63" w14:textId="2EF0D341" w:rsidR="005F1AA1" w:rsidRPr="00932732" w:rsidRDefault="005F1AA1">
      <w:pPr>
        <w:spacing w:line="240" w:lineRule="auto"/>
        <w:rPr>
          <w:rFonts w:ascii="Cambria" w:hAnsi="Cambria" w:cs="Baskerville"/>
          <w:lang w:val="en-CA" w:eastAsia="ja-JP"/>
        </w:rPr>
      </w:pPr>
      <w:r w:rsidRPr="00932732">
        <w:rPr>
          <w:rFonts w:ascii="Cambria" w:hAnsi="Cambria" w:cs="Baskerville"/>
          <w:lang w:val="en-CA" w:eastAsia="ja-JP"/>
        </w:rPr>
        <w:br w:type="page"/>
      </w:r>
    </w:p>
    <w:p w14:paraId="5BF436B5" w14:textId="40201D2F" w:rsidR="00004273" w:rsidRPr="00932732" w:rsidRDefault="00004273" w:rsidP="00352489">
      <w:pPr>
        <w:jc w:val="both"/>
        <w:rPr>
          <w:rFonts w:ascii="Cambria" w:hAnsi="Cambria" w:cs="Baskerville"/>
          <w:lang w:val="en-CA" w:eastAsia="ja-JP"/>
        </w:rPr>
      </w:pPr>
      <w:r w:rsidRPr="00932732">
        <w:rPr>
          <w:rFonts w:ascii="Cambria" w:hAnsi="Cambria" w:cs="Baskerville"/>
          <w:lang w:val="en-CA" w:eastAsia="ja-JP"/>
        </w:rPr>
        <w:t> </w:t>
      </w:r>
    </w:p>
    <w:p w14:paraId="603E039A" w14:textId="6DC35A27" w:rsidR="00352489" w:rsidRPr="00932732" w:rsidRDefault="00247A8E" w:rsidP="00352489">
      <w:pPr>
        <w:pStyle w:val="Heading1"/>
        <w:jc w:val="center"/>
        <w:rPr>
          <w:rFonts w:ascii="Cambria" w:hAnsi="Cambria"/>
          <w:lang w:val="en-CA" w:eastAsia="ja-JP"/>
        </w:rPr>
      </w:pPr>
      <w:bookmarkStart w:id="0" w:name="_Toc430261415"/>
      <w:r w:rsidRPr="00932732">
        <w:rPr>
          <w:rFonts w:ascii="Cambria" w:hAnsi="Cambria"/>
          <w:lang w:val="en-CA" w:eastAsia="ja-JP"/>
        </w:rPr>
        <w:t>Chapter 1: A Century of Offshore Finance</w:t>
      </w:r>
      <w:bookmarkEnd w:id="0"/>
    </w:p>
    <w:p w14:paraId="2C1CA0A7" w14:textId="77777777" w:rsidR="0029579F" w:rsidRPr="00932732" w:rsidRDefault="0029579F" w:rsidP="0029579F">
      <w:pPr>
        <w:jc w:val="both"/>
        <w:rPr>
          <w:rFonts w:ascii="Cambria" w:hAnsi="Cambria" w:cs="Baskerville"/>
          <w:lang w:val="en-CA" w:eastAsia="ja-JP"/>
        </w:rPr>
      </w:pPr>
    </w:p>
    <w:p w14:paraId="05B9A429" w14:textId="77777777" w:rsidR="0029579F" w:rsidRPr="00932732" w:rsidRDefault="0029579F" w:rsidP="0029579F">
      <w:pPr>
        <w:jc w:val="both"/>
        <w:rPr>
          <w:rFonts w:ascii="Cambria" w:hAnsi="Cambria" w:cs="Baskerville"/>
          <w:lang w:val="en-CA" w:eastAsia="ja-JP"/>
        </w:rPr>
      </w:pPr>
    </w:p>
    <w:p w14:paraId="3DDB7D3B" w14:textId="77777777" w:rsidR="0029579F" w:rsidRPr="00932732" w:rsidRDefault="0029579F" w:rsidP="0029579F">
      <w:pPr>
        <w:jc w:val="both"/>
        <w:rPr>
          <w:rFonts w:ascii="Cambria" w:hAnsi="Cambria" w:cs="Baskerville"/>
          <w:lang w:val="en-CA" w:eastAsia="ja-JP"/>
        </w:rPr>
      </w:pPr>
    </w:p>
    <w:p w14:paraId="24800F14" w14:textId="6B25398F" w:rsidR="0029579F" w:rsidRPr="00932732" w:rsidRDefault="00A84385" w:rsidP="007C6894">
      <w:pPr>
        <w:pStyle w:val="Heading2"/>
        <w:rPr>
          <w:rFonts w:ascii="Cambria" w:hAnsi="Cambria"/>
          <w:lang w:val="en-CA" w:eastAsia="ja-JP"/>
        </w:rPr>
      </w:pPr>
      <w:bookmarkStart w:id="1" w:name="_Toc430261416"/>
      <w:r w:rsidRPr="00932732">
        <w:rPr>
          <w:rFonts w:ascii="Cambria" w:hAnsi="Cambria"/>
          <w:lang w:val="en-CA" w:eastAsia="ja-JP"/>
        </w:rPr>
        <w:t>Data from</w:t>
      </w:r>
      <w:r w:rsidR="0029579F" w:rsidRPr="00932732">
        <w:rPr>
          <w:rFonts w:ascii="Cambria" w:hAnsi="Cambria"/>
          <w:lang w:val="en-CA" w:eastAsia="ja-JP"/>
        </w:rPr>
        <w:t xml:space="preserve"> </w:t>
      </w:r>
      <w:r w:rsidRPr="00932732">
        <w:rPr>
          <w:rFonts w:ascii="Cambria" w:hAnsi="Cambria"/>
          <w:lang w:val="en-CA" w:eastAsia="ja-JP"/>
        </w:rPr>
        <w:t xml:space="preserve">the </w:t>
      </w:r>
      <w:r w:rsidR="0029579F" w:rsidRPr="00932732">
        <w:rPr>
          <w:rFonts w:ascii="Cambria" w:hAnsi="Cambria"/>
          <w:lang w:val="en-CA" w:eastAsia="ja-JP"/>
        </w:rPr>
        <w:t xml:space="preserve">Volcker </w:t>
      </w:r>
      <w:r w:rsidRPr="00932732">
        <w:rPr>
          <w:rFonts w:ascii="Cambria" w:hAnsi="Cambria"/>
          <w:lang w:val="en-CA" w:eastAsia="ja-JP"/>
        </w:rPr>
        <w:t>and</w:t>
      </w:r>
      <w:r w:rsidR="0029579F" w:rsidRPr="00932732">
        <w:rPr>
          <w:rFonts w:ascii="Cambria" w:hAnsi="Cambria"/>
          <w:lang w:val="en-CA" w:eastAsia="ja-JP"/>
        </w:rPr>
        <w:t xml:space="preserve"> Bergier</w:t>
      </w:r>
      <w:r w:rsidRPr="00932732">
        <w:rPr>
          <w:rFonts w:ascii="Cambria" w:hAnsi="Cambria"/>
          <w:lang w:val="en-CA" w:eastAsia="ja-JP"/>
        </w:rPr>
        <w:t xml:space="preserve"> Commissions</w:t>
      </w:r>
      <w:bookmarkEnd w:id="1"/>
      <w:r w:rsidR="00734937" w:rsidRPr="00932732">
        <w:rPr>
          <w:rFonts w:ascii="Cambria" w:hAnsi="Cambria"/>
          <w:lang w:val="en-CA" w:eastAsia="ja-JP"/>
        </w:rPr>
        <w:t xml:space="preserve"> </w:t>
      </w:r>
    </w:p>
    <w:p w14:paraId="23BE29C3" w14:textId="77777777" w:rsidR="0029579F" w:rsidRPr="00932732" w:rsidRDefault="0029579F" w:rsidP="0029579F">
      <w:pPr>
        <w:jc w:val="both"/>
        <w:rPr>
          <w:rFonts w:ascii="Cambria" w:hAnsi="Cambria" w:cs="Baskerville"/>
          <w:b/>
          <w:lang w:val="en-CA" w:eastAsia="ja-JP"/>
        </w:rPr>
      </w:pPr>
    </w:p>
    <w:p w14:paraId="2CE5B047" w14:textId="0067E0D2" w:rsidR="0029579F" w:rsidRPr="00932732" w:rsidRDefault="00E86C87" w:rsidP="0029579F">
      <w:pPr>
        <w:jc w:val="both"/>
        <w:rPr>
          <w:rFonts w:ascii="Cambria" w:hAnsi="Cambria" w:cs="Baskerville"/>
          <w:lang w:val="en-CA" w:eastAsia="ja-JP"/>
        </w:rPr>
      </w:pPr>
      <w:r w:rsidRPr="00932732">
        <w:rPr>
          <w:rFonts w:ascii="Cambria" w:hAnsi="Cambria" w:cs="Baskerville"/>
          <w:lang w:val="en-CA" w:eastAsia="ja-JP"/>
        </w:rPr>
        <w:t>I</w:t>
      </w:r>
      <w:r w:rsidR="0029579F" w:rsidRPr="00932732">
        <w:rPr>
          <w:rFonts w:ascii="Cambria" w:hAnsi="Cambria" w:cs="Baskerville"/>
          <w:lang w:val="en-CA" w:eastAsia="ja-JP"/>
        </w:rPr>
        <w:t xml:space="preserve"> start </w:t>
      </w:r>
      <w:r w:rsidRPr="00932732">
        <w:rPr>
          <w:rFonts w:ascii="Cambria" w:hAnsi="Cambria" w:cs="Baskerville"/>
          <w:lang w:val="en-CA" w:eastAsia="ja-JP"/>
        </w:rPr>
        <w:t xml:space="preserve">with </w:t>
      </w:r>
      <w:r w:rsidR="0029579F" w:rsidRPr="00932732">
        <w:rPr>
          <w:rFonts w:ascii="Cambria" w:hAnsi="Cambria" w:cs="Baskerville"/>
          <w:lang w:val="en-CA" w:eastAsia="ja-JP"/>
        </w:rPr>
        <w:t xml:space="preserve">the 1945 value of total customers' securities under custody given by </w:t>
      </w:r>
      <w:r w:rsidRPr="00932732">
        <w:rPr>
          <w:rFonts w:ascii="Cambria" w:hAnsi="Cambria" w:cs="Baskerville"/>
          <w:lang w:val="en-CA" w:eastAsia="ja-JP"/>
        </w:rPr>
        <w:t>the Independent Committee of Eminent Persons (</w:t>
      </w:r>
      <w:r w:rsidR="0029579F" w:rsidRPr="00932732">
        <w:rPr>
          <w:rFonts w:ascii="Cambria" w:hAnsi="Cambria" w:cs="Baskerville"/>
          <w:lang w:val="en-CA" w:eastAsia="ja-JP"/>
        </w:rPr>
        <w:t>ICEP</w:t>
      </w:r>
      <w:r w:rsidRPr="00932732">
        <w:rPr>
          <w:rFonts w:ascii="Cambria" w:hAnsi="Cambria" w:cs="Baskerville"/>
          <w:lang w:val="en-CA" w:eastAsia="ja-JP"/>
        </w:rPr>
        <w:t>), namely</w:t>
      </w:r>
      <w:r w:rsidR="0029579F" w:rsidRPr="00932732">
        <w:rPr>
          <w:rFonts w:ascii="Cambria" w:hAnsi="Cambria" w:cs="Baskerville"/>
          <w:lang w:val="en-CA" w:eastAsia="ja-JP"/>
        </w:rPr>
        <w:t xml:space="preserve"> 19,850,884,000</w:t>
      </w:r>
      <w:r w:rsidR="003F775D" w:rsidRPr="00932732">
        <w:rPr>
          <w:rFonts w:ascii="Cambria" w:hAnsi="Cambria" w:cs="Baskerville"/>
          <w:lang w:val="en-CA" w:eastAsia="ja-JP"/>
        </w:rPr>
        <w:t xml:space="preserve"> Swiss francs</w:t>
      </w:r>
      <w:r w:rsidR="0029579F" w:rsidRPr="00932732">
        <w:rPr>
          <w:rFonts w:ascii="Cambria" w:hAnsi="Cambria" w:cs="Baskerville"/>
          <w:lang w:val="en-CA" w:eastAsia="ja-JP"/>
        </w:rPr>
        <w:t xml:space="preserve">. This figure covers 254 of the 481 banks that </w:t>
      </w:r>
      <w:r w:rsidR="00766F39" w:rsidRPr="00932732">
        <w:rPr>
          <w:rFonts w:ascii="Cambria" w:hAnsi="Cambria" w:cs="Baskerville"/>
          <w:lang w:val="en-CA" w:eastAsia="ja-JP"/>
        </w:rPr>
        <w:t>existed in the period 1933-1945</w:t>
      </w:r>
      <w:r w:rsidRPr="00932732">
        <w:rPr>
          <w:rFonts w:ascii="Cambria" w:hAnsi="Cambria" w:cs="Baskerville"/>
          <w:lang w:val="en-CA" w:eastAsia="ja-JP"/>
        </w:rPr>
        <w:t xml:space="preserve"> </w:t>
      </w:r>
      <w:r w:rsidR="0029579F" w:rsidRPr="00932732">
        <w:rPr>
          <w:rFonts w:ascii="Cambria" w:hAnsi="Cambria" w:cs="Baskerville"/>
          <w:lang w:val="en-CA" w:eastAsia="ja-JP"/>
        </w:rPr>
        <w:t>and</w:t>
      </w:r>
      <w:r w:rsidR="00766F39" w:rsidRPr="00932732">
        <w:rPr>
          <w:rFonts w:ascii="Cambria" w:hAnsi="Cambria" w:cs="Baskerville"/>
          <w:lang w:val="en-CA" w:eastAsia="ja-JP"/>
        </w:rPr>
        <w:t xml:space="preserve"> that were still operating at</w:t>
      </w:r>
      <w:r w:rsidR="0029579F" w:rsidRPr="00932732">
        <w:rPr>
          <w:rFonts w:ascii="Cambria" w:hAnsi="Cambria" w:cs="Baskerville"/>
          <w:lang w:val="en-CA" w:eastAsia="ja-JP"/>
        </w:rPr>
        <w:t xml:space="preserve"> the end of the twentieth century</w:t>
      </w:r>
      <w:r w:rsidR="00766F39" w:rsidRPr="00932732">
        <w:rPr>
          <w:rFonts w:ascii="Cambria" w:hAnsi="Cambria" w:cs="Baskerville"/>
          <w:lang w:val="en-CA" w:eastAsia="ja-JP"/>
        </w:rPr>
        <w:t xml:space="preserve"> (or that still existed through a successor bank)</w:t>
      </w:r>
      <w:r w:rsidR="0029579F" w:rsidRPr="00932732">
        <w:rPr>
          <w:rFonts w:ascii="Cambria" w:hAnsi="Cambria" w:cs="Baskerville"/>
          <w:lang w:val="en-CA" w:eastAsia="ja-JP"/>
        </w:rPr>
        <w:t>. It is the result of an extensive forensic investigation conducted on behalf of the Volcker commission by Coopers &amp; Lybrand, Deloitte &amp; Touche, Price Waterhouse, Arthur Andersen and KPMG.</w:t>
      </w:r>
    </w:p>
    <w:p w14:paraId="135CF4A5" w14:textId="77777777" w:rsidR="00E86C87" w:rsidRPr="00932732" w:rsidRDefault="00E86C87" w:rsidP="0029579F">
      <w:pPr>
        <w:jc w:val="both"/>
        <w:rPr>
          <w:rFonts w:ascii="Cambria" w:hAnsi="Cambria" w:cs="Baskerville"/>
          <w:lang w:val="en-CA" w:eastAsia="ja-JP"/>
        </w:rPr>
      </w:pPr>
    </w:p>
    <w:p w14:paraId="0A2802F9" w14:textId="2C287690" w:rsidR="003F775D"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The commission was careful to select the biggest banks of the time. It fully covered the </w:t>
      </w:r>
      <w:r w:rsidR="00E86C87" w:rsidRPr="00932732">
        <w:rPr>
          <w:rFonts w:ascii="Cambria" w:hAnsi="Cambria" w:cs="Baskerville"/>
          <w:lang w:val="en-CA" w:eastAsia="ja-JP"/>
        </w:rPr>
        <w:t>7 big banks, as well as the</w:t>
      </w:r>
      <w:r w:rsidRPr="00932732">
        <w:rPr>
          <w:rFonts w:ascii="Cambria" w:hAnsi="Cambria" w:cs="Baskerville"/>
          <w:lang w:val="en-CA" w:eastAsia="ja-JP"/>
        </w:rPr>
        <w:t xml:space="preserve"> private banks which specialized in asset management. It covered cantonal banks</w:t>
      </w:r>
      <w:r w:rsidR="00E86C87" w:rsidRPr="00932732">
        <w:rPr>
          <w:rFonts w:ascii="Cambria" w:hAnsi="Cambria" w:cs="Baskerville"/>
          <w:lang w:val="en-CA" w:eastAsia="ja-JP"/>
        </w:rPr>
        <w:t xml:space="preserve"> extensively</w:t>
      </w:r>
      <w:r w:rsidRPr="00932732">
        <w:rPr>
          <w:rFonts w:ascii="Cambria" w:hAnsi="Cambria" w:cs="Baskerville"/>
          <w:lang w:val="en-CA" w:eastAsia="ja-JP"/>
        </w:rPr>
        <w:t>.</w:t>
      </w:r>
    </w:p>
    <w:p w14:paraId="02A85DE7" w14:textId="3C06CF51"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 </w:t>
      </w:r>
    </w:p>
    <w:p w14:paraId="4F465907" w14:textId="4BD07770" w:rsidR="003F775D"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How</w:t>
      </w:r>
      <w:r w:rsidR="00377127" w:rsidRPr="00932732">
        <w:rPr>
          <w:rFonts w:ascii="Cambria" w:hAnsi="Cambria" w:cs="Baskerville"/>
          <w:lang w:val="en-CA" w:eastAsia="ja-JP"/>
        </w:rPr>
        <w:t>ever, the Commission disregar</w:t>
      </w:r>
      <w:r w:rsidRPr="00932732">
        <w:rPr>
          <w:rFonts w:ascii="Cambria" w:hAnsi="Cambria" w:cs="Baskerville"/>
          <w:lang w:val="en-CA" w:eastAsia="ja-JP"/>
        </w:rPr>
        <w:t xml:space="preserve">ded: </w:t>
      </w:r>
    </w:p>
    <w:p w14:paraId="10270CAF" w14:textId="58D23C94"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(1) 205 banks that existed in the period 1933-1945 but were subsequently liquidated or re-defined as non-banks.</w:t>
      </w:r>
    </w:p>
    <w:p w14:paraId="451E5E08" w14:textId="1F2481C8" w:rsidR="0029579F" w:rsidRPr="00932732" w:rsidRDefault="003F775D" w:rsidP="0029579F">
      <w:pPr>
        <w:jc w:val="both"/>
        <w:rPr>
          <w:rFonts w:ascii="Cambria" w:hAnsi="Cambria" w:cs="Baskerville"/>
          <w:lang w:val="en-CA" w:eastAsia="ja-JP"/>
        </w:rPr>
      </w:pPr>
      <w:r w:rsidRPr="00932732">
        <w:rPr>
          <w:rFonts w:ascii="Cambria" w:hAnsi="Cambria" w:cs="Baskerville"/>
          <w:lang w:val="en-CA" w:eastAsia="ja-JP"/>
        </w:rPr>
        <w:t>(</w:t>
      </w:r>
      <w:r w:rsidR="0029579F" w:rsidRPr="00932732">
        <w:rPr>
          <w:rFonts w:ascii="Cambria" w:hAnsi="Cambria" w:cs="Baskerville"/>
          <w:lang w:val="en-CA" w:eastAsia="ja-JP"/>
        </w:rPr>
        <w:t>2) 227 banks that still existed at the end of the twentieth century, but that were "almost ex</w:t>
      </w:r>
      <w:r w:rsidR="00741862" w:rsidRPr="00932732">
        <w:rPr>
          <w:rFonts w:ascii="Cambria" w:hAnsi="Cambria" w:cs="Baskerville"/>
          <w:lang w:val="en-CA" w:eastAsia="ja-JP"/>
        </w:rPr>
        <w:t>c</w:t>
      </w:r>
      <w:r w:rsidR="0029579F" w:rsidRPr="00932732">
        <w:rPr>
          <w:rFonts w:ascii="Cambria" w:hAnsi="Cambria" w:cs="Baskerville"/>
          <w:lang w:val="en-CA" w:eastAsia="ja-JP"/>
        </w:rPr>
        <w:t>lusively small, local, and regional banks that had retail domestic business and fe</w:t>
      </w:r>
      <w:r w:rsidR="00741862" w:rsidRPr="00932732">
        <w:rPr>
          <w:rFonts w:ascii="Cambria" w:hAnsi="Cambria" w:cs="Baskerville"/>
          <w:lang w:val="en-CA" w:eastAsia="ja-JP"/>
        </w:rPr>
        <w:t>w</w:t>
      </w:r>
      <w:r w:rsidR="0029579F" w:rsidRPr="00932732">
        <w:rPr>
          <w:rFonts w:ascii="Cambria" w:hAnsi="Cambria" w:cs="Baskerville"/>
          <w:lang w:val="en-CA" w:eastAsia="ja-JP"/>
        </w:rPr>
        <w:t xml:space="preserve"> contacts with foreigners" (ICEP, 1999, p. 27)</w:t>
      </w:r>
    </w:p>
    <w:p w14:paraId="390A3C30" w14:textId="141F78E2"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The 254 banks investigated accounted for 82% of the 1945 total Swiss banks on-balance sheet liabilities. As the Volcker Commission focused on the banks most likely to have an asset management acti</w:t>
      </w:r>
      <w:r w:rsidR="00741862" w:rsidRPr="00932732">
        <w:rPr>
          <w:rFonts w:ascii="Cambria" w:hAnsi="Cambria" w:cs="Baskerville"/>
          <w:lang w:val="en-CA" w:eastAsia="ja-JP"/>
        </w:rPr>
        <w:t>v</w:t>
      </w:r>
      <w:r w:rsidRPr="00932732">
        <w:rPr>
          <w:rFonts w:ascii="Cambria" w:hAnsi="Cambria" w:cs="Baskerville"/>
          <w:lang w:val="en-CA" w:eastAsia="ja-JP"/>
        </w:rPr>
        <w:t>i</w:t>
      </w:r>
      <w:r w:rsidR="00741862" w:rsidRPr="00932732">
        <w:rPr>
          <w:rFonts w:ascii="Cambria" w:hAnsi="Cambria" w:cs="Baskerville"/>
          <w:lang w:val="en-CA" w:eastAsia="ja-JP"/>
        </w:rPr>
        <w:t>t</w:t>
      </w:r>
      <w:r w:rsidRPr="00932732">
        <w:rPr>
          <w:rFonts w:ascii="Cambria" w:hAnsi="Cambria" w:cs="Baskerville"/>
          <w:lang w:val="en-CA" w:eastAsia="ja-JP"/>
        </w:rPr>
        <w:t>y, the 82% figure should be considered as a lower bound for the percentage of securities covered by its investigations.</w:t>
      </w:r>
    </w:p>
    <w:p w14:paraId="65412511" w14:textId="77777777" w:rsidR="003F775D" w:rsidRPr="00932732" w:rsidRDefault="003F775D" w:rsidP="0029579F">
      <w:pPr>
        <w:jc w:val="both"/>
        <w:rPr>
          <w:rFonts w:ascii="Cambria" w:hAnsi="Cambria" w:cs="Baskerville"/>
          <w:lang w:val="en-CA" w:eastAsia="ja-JP"/>
        </w:rPr>
      </w:pPr>
    </w:p>
    <w:p w14:paraId="58B3CAC3" w14:textId="76455466"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There is no exact way to know if the actual coverage is closer to 82% (i.e.</w:t>
      </w:r>
      <w:r w:rsidR="00741862" w:rsidRPr="00932732">
        <w:rPr>
          <w:rFonts w:ascii="Cambria" w:hAnsi="Cambria" w:cs="Baskerville"/>
          <w:lang w:val="en-CA" w:eastAsia="ja-JP"/>
        </w:rPr>
        <w:t>,</w:t>
      </w:r>
      <w:r w:rsidRPr="00932732">
        <w:rPr>
          <w:rFonts w:ascii="Cambria" w:hAnsi="Cambria" w:cs="Baskerville"/>
          <w:lang w:val="en-CA" w:eastAsia="ja-JP"/>
        </w:rPr>
        <w:t xml:space="preserve"> if the missing banks were as active in asset management as the covered banks) or 100% (i.e.</w:t>
      </w:r>
      <w:r w:rsidR="00741862" w:rsidRPr="00932732">
        <w:rPr>
          <w:rFonts w:ascii="Cambria" w:hAnsi="Cambria" w:cs="Baskerville"/>
          <w:lang w:val="en-CA" w:eastAsia="ja-JP"/>
        </w:rPr>
        <w:t>,</w:t>
      </w:r>
      <w:r w:rsidRPr="00932732">
        <w:rPr>
          <w:rFonts w:ascii="Cambria" w:hAnsi="Cambria" w:cs="Baskerville"/>
          <w:lang w:val="en-CA" w:eastAsia="ja-JP"/>
        </w:rPr>
        <w:t xml:space="preserve"> if the missing banks were only deposit-taking institutions, with no securities custody activity).</w:t>
      </w:r>
    </w:p>
    <w:p w14:paraId="2759347A" w14:textId="77777777" w:rsidR="00766F39" w:rsidRPr="00932732" w:rsidRDefault="00766F39" w:rsidP="0029579F">
      <w:pPr>
        <w:jc w:val="both"/>
        <w:rPr>
          <w:rFonts w:ascii="Cambria" w:hAnsi="Cambria" w:cs="Baskerville"/>
          <w:lang w:val="en-CA" w:eastAsia="ja-JP"/>
        </w:rPr>
      </w:pPr>
    </w:p>
    <w:p w14:paraId="3981BB21" w14:textId="100BB610" w:rsidR="00741862"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An examination of the list of the un-investigated banks (ICEP 1999, p.39) reveals that the vast majority were savings and mortg</w:t>
      </w:r>
      <w:r w:rsidR="00741862" w:rsidRPr="00932732">
        <w:rPr>
          <w:rFonts w:ascii="Cambria" w:hAnsi="Cambria" w:cs="Baskerville"/>
          <w:lang w:val="en-CA" w:eastAsia="ja-JP"/>
        </w:rPr>
        <w:t>age banks with probably negligi</w:t>
      </w:r>
      <w:r w:rsidRPr="00932732">
        <w:rPr>
          <w:rFonts w:ascii="Cambria" w:hAnsi="Cambria" w:cs="Baskerville"/>
          <w:lang w:val="en-CA" w:eastAsia="ja-JP"/>
        </w:rPr>
        <w:t>ble asset management activity. However, it also includes a few banks that surely had non</w:t>
      </w:r>
      <w:r w:rsidR="00741862" w:rsidRPr="00932732">
        <w:rPr>
          <w:rFonts w:ascii="Cambria" w:hAnsi="Cambria" w:cs="Baskerville"/>
          <w:lang w:val="en-CA" w:eastAsia="ja-JP"/>
        </w:rPr>
        <w:t>-</w:t>
      </w:r>
      <w:r w:rsidRPr="00932732">
        <w:rPr>
          <w:rFonts w:ascii="Cambria" w:hAnsi="Cambria" w:cs="Baskerville"/>
          <w:lang w:val="en-CA" w:eastAsia="ja-JP"/>
        </w:rPr>
        <w:t>trivial wealth management business, namely:</w:t>
      </w:r>
    </w:p>
    <w:p w14:paraId="3B4F9D40" w14:textId="2C544FA4" w:rsidR="00741862"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1) A major cantonal bank, "Banque Cantonale de Genève", which, though selected for examination by the ICEP, dit not allow any audit work, possibly posing "a significant imped</w:t>
      </w:r>
      <w:r w:rsidR="00741862" w:rsidRPr="00932732">
        <w:rPr>
          <w:rFonts w:ascii="Cambria" w:hAnsi="Cambria" w:cs="Baskerville"/>
          <w:lang w:val="en-CA" w:eastAsia="ja-JP"/>
        </w:rPr>
        <w:t>i</w:t>
      </w:r>
      <w:r w:rsidRPr="00932732">
        <w:rPr>
          <w:rFonts w:ascii="Cambria" w:hAnsi="Cambria" w:cs="Baskerville"/>
          <w:lang w:val="en-CA" w:eastAsia="ja-JP"/>
        </w:rPr>
        <w:t>ment to the accomplishment of the goals of the ICEP investigation" ((ICEP, p.5, note 15)</w:t>
      </w:r>
    </w:p>
    <w:p w14:paraId="2E9C9620"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2) Swiss branches of foreign banks: Lloyds Bank International, Slavenburg's Bnak (Schweiz) AG… </w:t>
      </w:r>
    </w:p>
    <w:p w14:paraId="1BB359B0" w14:textId="77777777" w:rsidR="00741862" w:rsidRPr="00932732" w:rsidRDefault="00741862" w:rsidP="0029579F">
      <w:pPr>
        <w:jc w:val="both"/>
        <w:rPr>
          <w:rFonts w:ascii="Cambria" w:hAnsi="Cambria" w:cs="Baskerville"/>
          <w:lang w:val="en-CA" w:eastAsia="ja-JP"/>
        </w:rPr>
      </w:pPr>
    </w:p>
    <w:p w14:paraId="4838220A" w14:textId="1E44F1BA"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Hence </w:t>
      </w:r>
      <w:r w:rsidR="00741862" w:rsidRPr="00932732">
        <w:rPr>
          <w:rFonts w:ascii="Cambria" w:hAnsi="Cambria" w:cs="Baskerville"/>
          <w:lang w:val="en-CA" w:eastAsia="ja-JP"/>
        </w:rPr>
        <w:t>I</w:t>
      </w:r>
      <w:r w:rsidRPr="00932732">
        <w:rPr>
          <w:rFonts w:ascii="Cambria" w:hAnsi="Cambria" w:cs="Baskerville"/>
          <w:lang w:val="en-CA" w:eastAsia="ja-JP"/>
        </w:rPr>
        <w:t xml:space="preserve"> assume that the ICEP figure covers 90% of all customers securities deposits in 1945, and retain</w:t>
      </w:r>
      <w:r w:rsidR="00741862" w:rsidRPr="00932732">
        <w:rPr>
          <w:rFonts w:ascii="Cambria" w:hAnsi="Cambria" w:cs="Baskerville"/>
          <w:lang w:val="en-CA" w:eastAsia="ja-JP"/>
        </w:rPr>
        <w:t xml:space="preserve"> CHF</w:t>
      </w:r>
      <w:r w:rsidRPr="00932732">
        <w:rPr>
          <w:rFonts w:ascii="Cambria" w:hAnsi="Cambria" w:cs="Baskerville"/>
          <w:lang w:val="en-CA" w:eastAsia="ja-JP"/>
        </w:rPr>
        <w:t xml:space="preserve"> 21</w:t>
      </w:r>
      <w:r w:rsidR="00741862" w:rsidRPr="00932732">
        <w:rPr>
          <w:rFonts w:ascii="Cambria" w:hAnsi="Cambria" w:cs="Baskerville"/>
          <w:lang w:val="en-CA" w:eastAsia="ja-JP"/>
        </w:rPr>
        <w:t>.</w:t>
      </w:r>
      <w:r w:rsidRPr="00932732">
        <w:rPr>
          <w:rFonts w:ascii="Cambria" w:hAnsi="Cambria" w:cs="Baskerville"/>
          <w:lang w:val="en-CA" w:eastAsia="ja-JP"/>
        </w:rPr>
        <w:t>84bn as the total figure</w:t>
      </w:r>
      <w:r w:rsidR="00741862" w:rsidRPr="00932732">
        <w:rPr>
          <w:rFonts w:ascii="Cambria" w:hAnsi="Cambria" w:cs="Baskerville"/>
          <w:lang w:val="en-CA" w:eastAsia="ja-JP"/>
        </w:rPr>
        <w:t xml:space="preserve"> for 1945.</w:t>
      </w:r>
    </w:p>
    <w:p w14:paraId="2F7D595C" w14:textId="77777777" w:rsidR="00741862" w:rsidRPr="00932732" w:rsidRDefault="00741862" w:rsidP="0029579F">
      <w:pPr>
        <w:jc w:val="both"/>
        <w:rPr>
          <w:rFonts w:ascii="Cambria" w:hAnsi="Cambria" w:cs="Baskerville"/>
          <w:lang w:val="en-CA" w:eastAsia="ja-JP"/>
        </w:rPr>
      </w:pPr>
    </w:p>
    <w:p w14:paraId="3CC29645" w14:textId="39801986" w:rsidR="00741862"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The 6 big banks for which Perrenoud et al. (2000) provide time series ha</w:t>
      </w:r>
      <w:r w:rsidR="00741862" w:rsidRPr="00932732">
        <w:rPr>
          <w:rFonts w:ascii="Cambria" w:hAnsi="Cambria" w:cs="Baskerville"/>
          <w:lang w:val="en-CA" w:eastAsia="ja-JP"/>
        </w:rPr>
        <w:t>ve</w:t>
      </w:r>
      <w:r w:rsidRPr="00932732">
        <w:rPr>
          <w:rFonts w:ascii="Cambria" w:hAnsi="Cambria" w:cs="Baskerville"/>
          <w:lang w:val="en-CA" w:eastAsia="ja-JP"/>
        </w:rPr>
        <w:t xml:space="preserve"> </w:t>
      </w:r>
      <w:r w:rsidR="00741862" w:rsidRPr="00932732">
        <w:rPr>
          <w:rFonts w:ascii="Cambria" w:hAnsi="Cambria" w:cs="Baskerville"/>
          <w:lang w:val="en-CA" w:eastAsia="ja-JP"/>
        </w:rPr>
        <w:t xml:space="preserve">CHF </w:t>
      </w:r>
      <w:r w:rsidRPr="00932732">
        <w:rPr>
          <w:rFonts w:ascii="Cambria" w:hAnsi="Cambria" w:cs="Baskerville"/>
          <w:lang w:val="en-CA" w:eastAsia="ja-JP"/>
        </w:rPr>
        <w:t>12</w:t>
      </w:r>
      <w:r w:rsidR="00741862" w:rsidRPr="00932732">
        <w:rPr>
          <w:rFonts w:ascii="Cambria" w:hAnsi="Cambria" w:cs="Baskerville"/>
          <w:lang w:val="en-CA" w:eastAsia="ja-JP"/>
        </w:rPr>
        <w:t>.</w:t>
      </w:r>
      <w:r w:rsidRPr="00932732">
        <w:rPr>
          <w:rFonts w:ascii="Cambria" w:hAnsi="Cambria" w:cs="Baskerville"/>
          <w:lang w:val="en-CA" w:eastAsia="ja-JP"/>
        </w:rPr>
        <w:t>6 bn</w:t>
      </w:r>
      <w:r w:rsidR="00741862" w:rsidRPr="00932732">
        <w:rPr>
          <w:rFonts w:ascii="Cambria" w:hAnsi="Cambria" w:cs="Baskerville"/>
          <w:lang w:val="en-CA" w:eastAsia="ja-JP"/>
        </w:rPr>
        <w:t xml:space="preserve"> in assets under management</w:t>
      </w:r>
      <w:r w:rsidRPr="00932732">
        <w:rPr>
          <w:rFonts w:ascii="Cambria" w:hAnsi="Cambria" w:cs="Baskerville"/>
          <w:lang w:val="en-CA" w:eastAsia="ja-JP"/>
        </w:rPr>
        <w:t>, i.e. 57,9% of the ICEP augmented total. Here is how both estimates (ICEP and Perrenoud et al.) fit</w:t>
      </w:r>
      <w:r w:rsidR="00741862" w:rsidRPr="00932732">
        <w:rPr>
          <w:rFonts w:ascii="Cambria" w:hAnsi="Cambria" w:cs="Baskerville"/>
          <w:lang w:val="en-CA" w:eastAsia="ja-JP"/>
        </w:rPr>
        <w:t xml:space="preserve"> in</w:t>
      </w:r>
      <w:r w:rsidRPr="00932732">
        <w:rPr>
          <w:rFonts w:ascii="Cambria" w:hAnsi="Cambria" w:cs="Baskerville"/>
          <w:lang w:val="en-CA" w:eastAsia="ja-JP"/>
        </w:rPr>
        <w:t>:</w:t>
      </w:r>
    </w:p>
    <w:p w14:paraId="15A66463" w14:textId="1D7A1F90"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1) The seventh big bank (BPS) and all the banks subsequently taken over by the 6 big banks, which are included in the ICEP total but not in the Perrenoud et al. (2000) estimates, had</w:t>
      </w:r>
      <w:r w:rsidR="00766F39" w:rsidRPr="00932732">
        <w:rPr>
          <w:rFonts w:ascii="Cambria" w:hAnsi="Cambria" w:cs="Baskerville"/>
          <w:lang w:val="en-CA" w:eastAsia="ja-JP"/>
        </w:rPr>
        <w:t xml:space="preserve"> CHF</w:t>
      </w:r>
      <w:r w:rsidRPr="00932732">
        <w:rPr>
          <w:rFonts w:ascii="Cambria" w:hAnsi="Cambria" w:cs="Baskerville"/>
          <w:lang w:val="en-CA" w:eastAsia="ja-JP"/>
        </w:rPr>
        <w:t xml:space="preserve"> 1</w:t>
      </w:r>
      <w:r w:rsidR="00B935CA" w:rsidRPr="00932732">
        <w:rPr>
          <w:rFonts w:ascii="Cambria" w:hAnsi="Cambria" w:cs="Baskerville"/>
          <w:lang w:val="en-CA" w:eastAsia="ja-JP"/>
        </w:rPr>
        <w:t>.</w:t>
      </w:r>
      <w:r w:rsidRPr="00932732">
        <w:rPr>
          <w:rFonts w:ascii="Cambria" w:hAnsi="Cambria" w:cs="Baskerville"/>
          <w:lang w:val="en-CA" w:eastAsia="ja-JP"/>
        </w:rPr>
        <w:t>8bn</w:t>
      </w:r>
      <w:r w:rsidR="00766F39" w:rsidRPr="00932732">
        <w:rPr>
          <w:rFonts w:ascii="Cambria" w:hAnsi="Cambria" w:cs="Baskerville"/>
          <w:lang w:val="en-CA" w:eastAsia="ja-JP"/>
        </w:rPr>
        <w:t>;</w:t>
      </w:r>
    </w:p>
    <w:p w14:paraId="2B65F113" w14:textId="22DD0986" w:rsidR="0029579F" w:rsidRPr="00932732" w:rsidRDefault="00741862" w:rsidP="0029579F">
      <w:pPr>
        <w:jc w:val="both"/>
        <w:rPr>
          <w:rFonts w:ascii="Cambria" w:hAnsi="Cambria" w:cs="Baskerville"/>
          <w:lang w:val="en-CA" w:eastAsia="ja-JP"/>
        </w:rPr>
      </w:pPr>
      <w:r w:rsidRPr="00932732">
        <w:rPr>
          <w:rFonts w:ascii="Cambria" w:hAnsi="Cambria" w:cs="Baskerville"/>
          <w:lang w:val="en-CA" w:eastAsia="ja-JP"/>
        </w:rPr>
        <w:t xml:space="preserve">2) </w:t>
      </w:r>
      <w:r w:rsidR="00057EE1" w:rsidRPr="00932732">
        <w:rPr>
          <w:rFonts w:ascii="Cambria" w:hAnsi="Cambria" w:cs="Baskerville"/>
          <w:lang w:val="en-CA" w:eastAsia="ja-JP"/>
        </w:rPr>
        <w:t>C</w:t>
      </w:r>
      <w:r w:rsidR="0029579F" w:rsidRPr="00932732">
        <w:rPr>
          <w:rFonts w:ascii="Cambria" w:hAnsi="Cambria" w:cs="Baskerville"/>
          <w:lang w:val="en-CA" w:eastAsia="ja-JP"/>
        </w:rPr>
        <w:t xml:space="preserve">antonal </w:t>
      </w:r>
      <w:r w:rsidRPr="00932732">
        <w:rPr>
          <w:rFonts w:ascii="Cambria" w:hAnsi="Cambria" w:cs="Baskerville"/>
          <w:lang w:val="en-CA" w:eastAsia="ja-JP"/>
        </w:rPr>
        <w:t>b</w:t>
      </w:r>
      <w:r w:rsidR="0029579F" w:rsidRPr="00932732">
        <w:rPr>
          <w:rFonts w:ascii="Cambria" w:hAnsi="Cambria" w:cs="Baskerville"/>
          <w:lang w:val="en-CA" w:eastAsia="ja-JP"/>
        </w:rPr>
        <w:t>ank</w:t>
      </w:r>
      <w:r w:rsidRPr="00932732">
        <w:rPr>
          <w:rFonts w:ascii="Cambria" w:hAnsi="Cambria" w:cs="Baskerville"/>
          <w:lang w:val="en-CA" w:eastAsia="ja-JP"/>
        </w:rPr>
        <w:t>s</w:t>
      </w:r>
      <w:r w:rsidR="0029579F" w:rsidRPr="00932732">
        <w:rPr>
          <w:rFonts w:ascii="Cambria" w:hAnsi="Cambria" w:cs="Baskerville"/>
          <w:lang w:val="en-CA" w:eastAsia="ja-JP"/>
        </w:rPr>
        <w:t xml:space="preserve"> </w:t>
      </w:r>
      <w:r w:rsidR="00766F39" w:rsidRPr="00932732">
        <w:rPr>
          <w:rFonts w:ascii="Cambria" w:hAnsi="Cambria" w:cs="Baskerville"/>
          <w:lang w:val="en-CA" w:eastAsia="ja-JP"/>
        </w:rPr>
        <w:t>had</w:t>
      </w:r>
      <w:r w:rsidR="0029579F" w:rsidRPr="00932732">
        <w:rPr>
          <w:rFonts w:ascii="Cambria" w:hAnsi="Cambria" w:cs="Baskerville"/>
          <w:lang w:val="en-CA" w:eastAsia="ja-JP"/>
        </w:rPr>
        <w:t xml:space="preserve"> 3</w:t>
      </w:r>
      <w:r w:rsidR="00B935CA" w:rsidRPr="00932732">
        <w:rPr>
          <w:rFonts w:ascii="Cambria" w:hAnsi="Cambria" w:cs="Baskerville"/>
          <w:lang w:val="en-CA" w:eastAsia="ja-JP"/>
        </w:rPr>
        <w:t>.8b</w:t>
      </w:r>
      <w:r w:rsidR="0029579F" w:rsidRPr="00932732">
        <w:rPr>
          <w:rFonts w:ascii="Cambria" w:hAnsi="Cambria" w:cs="Baskerville"/>
          <w:lang w:val="en-CA" w:eastAsia="ja-JP"/>
        </w:rPr>
        <w:t>n</w:t>
      </w:r>
      <w:r w:rsidR="00766F39" w:rsidRPr="00932732">
        <w:rPr>
          <w:rFonts w:ascii="Cambria" w:hAnsi="Cambria" w:cs="Baskerville"/>
          <w:lang w:val="en-CA" w:eastAsia="ja-JP"/>
        </w:rPr>
        <w:t>;</w:t>
      </w:r>
    </w:p>
    <w:p w14:paraId="00DE27D8" w14:textId="5D2C0952"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3) </w:t>
      </w:r>
      <w:r w:rsidR="00057EE1" w:rsidRPr="00932732">
        <w:rPr>
          <w:rFonts w:ascii="Cambria" w:hAnsi="Cambria" w:cs="Baskerville"/>
          <w:lang w:val="en-CA" w:eastAsia="ja-JP"/>
        </w:rPr>
        <w:t>P</w:t>
      </w:r>
      <w:r w:rsidRPr="00932732">
        <w:rPr>
          <w:rFonts w:ascii="Cambria" w:hAnsi="Cambria" w:cs="Baskerville"/>
          <w:lang w:val="en-CA" w:eastAsia="ja-JP"/>
        </w:rPr>
        <w:t xml:space="preserve">rivate </w:t>
      </w:r>
      <w:r w:rsidR="00741862" w:rsidRPr="00932732">
        <w:rPr>
          <w:rFonts w:ascii="Cambria" w:hAnsi="Cambria" w:cs="Baskerville"/>
          <w:lang w:val="en-CA" w:eastAsia="ja-JP"/>
        </w:rPr>
        <w:t>b</w:t>
      </w:r>
      <w:r w:rsidRPr="00932732">
        <w:rPr>
          <w:rFonts w:ascii="Cambria" w:hAnsi="Cambria" w:cs="Baskerville"/>
          <w:lang w:val="en-CA" w:eastAsia="ja-JP"/>
        </w:rPr>
        <w:t xml:space="preserve">anks </w:t>
      </w:r>
      <w:r w:rsidR="00766F39" w:rsidRPr="00932732">
        <w:rPr>
          <w:rFonts w:ascii="Cambria" w:hAnsi="Cambria" w:cs="Baskerville"/>
          <w:lang w:val="en-CA" w:eastAsia="ja-JP"/>
        </w:rPr>
        <w:t>had</w:t>
      </w:r>
      <w:r w:rsidRPr="00932732">
        <w:rPr>
          <w:rFonts w:ascii="Cambria" w:hAnsi="Cambria" w:cs="Baskerville"/>
          <w:lang w:val="en-CA" w:eastAsia="ja-JP"/>
        </w:rPr>
        <w:t xml:space="preserve"> 1</w:t>
      </w:r>
      <w:r w:rsidR="00B935CA" w:rsidRPr="00932732">
        <w:rPr>
          <w:rFonts w:ascii="Cambria" w:hAnsi="Cambria" w:cs="Baskerville"/>
          <w:lang w:val="en-CA" w:eastAsia="ja-JP"/>
        </w:rPr>
        <w:t>.</w:t>
      </w:r>
      <w:r w:rsidRPr="00932732">
        <w:rPr>
          <w:rFonts w:ascii="Cambria" w:hAnsi="Cambria" w:cs="Baskerville"/>
          <w:lang w:val="en-CA" w:eastAsia="ja-JP"/>
        </w:rPr>
        <w:t>64</w:t>
      </w:r>
      <w:r w:rsidR="00B935CA" w:rsidRPr="00932732">
        <w:rPr>
          <w:rFonts w:ascii="Cambria" w:hAnsi="Cambria" w:cs="Baskerville"/>
          <w:lang w:val="en-CA" w:eastAsia="ja-JP"/>
        </w:rPr>
        <w:t>bn</w:t>
      </w:r>
      <w:r w:rsidR="00766F39" w:rsidRPr="00932732">
        <w:rPr>
          <w:rFonts w:ascii="Cambria" w:hAnsi="Cambria" w:cs="Baskerville"/>
          <w:lang w:val="en-CA" w:eastAsia="ja-JP"/>
        </w:rPr>
        <w:t>;</w:t>
      </w:r>
    </w:p>
    <w:p w14:paraId="65AB36F3" w14:textId="19962560" w:rsidR="0029579F" w:rsidRPr="00932732" w:rsidRDefault="00057EE1" w:rsidP="0029579F">
      <w:pPr>
        <w:jc w:val="both"/>
        <w:rPr>
          <w:rFonts w:ascii="Cambria" w:hAnsi="Cambria" w:cs="Baskerville"/>
          <w:lang w:val="en-CA" w:eastAsia="ja-JP"/>
        </w:rPr>
      </w:pPr>
      <w:r w:rsidRPr="00932732">
        <w:rPr>
          <w:rFonts w:ascii="Cambria" w:hAnsi="Cambria" w:cs="Baskerville"/>
          <w:lang w:val="en-CA" w:eastAsia="ja-JP"/>
        </w:rPr>
        <w:t>4) O</w:t>
      </w:r>
      <w:r w:rsidR="00766F39" w:rsidRPr="00932732">
        <w:rPr>
          <w:rFonts w:ascii="Cambria" w:hAnsi="Cambria" w:cs="Baskerville"/>
          <w:lang w:val="en-CA" w:eastAsia="ja-JP"/>
        </w:rPr>
        <w:t>ther banks had</w:t>
      </w:r>
      <w:r w:rsidR="0029579F" w:rsidRPr="00932732">
        <w:rPr>
          <w:rFonts w:ascii="Cambria" w:hAnsi="Cambria" w:cs="Baskerville"/>
          <w:lang w:val="en-CA" w:eastAsia="ja-JP"/>
        </w:rPr>
        <w:t xml:space="preserve"> 1</w:t>
      </w:r>
      <w:r w:rsidR="00734937" w:rsidRPr="00932732">
        <w:rPr>
          <w:rFonts w:ascii="Cambria" w:hAnsi="Cambria" w:cs="Baskerville"/>
          <w:lang w:val="en-CA" w:eastAsia="ja-JP"/>
        </w:rPr>
        <w:t>.96</w:t>
      </w:r>
      <w:r w:rsidR="0029579F" w:rsidRPr="00932732">
        <w:rPr>
          <w:rFonts w:ascii="Cambria" w:hAnsi="Cambria" w:cs="Baskerville"/>
          <w:lang w:val="en-CA" w:eastAsia="ja-JP"/>
        </w:rPr>
        <w:t>bn</w:t>
      </w:r>
      <w:r w:rsidR="00766F39" w:rsidRPr="00932732">
        <w:rPr>
          <w:rFonts w:ascii="Cambria" w:hAnsi="Cambria" w:cs="Baskerville"/>
          <w:lang w:val="en-CA" w:eastAsia="ja-JP"/>
        </w:rPr>
        <w:t>.</w:t>
      </w:r>
    </w:p>
    <w:p w14:paraId="7467EBEE" w14:textId="77777777" w:rsidR="0029579F" w:rsidRPr="00932732" w:rsidRDefault="0029579F" w:rsidP="0029579F">
      <w:pPr>
        <w:spacing w:line="240" w:lineRule="auto"/>
        <w:rPr>
          <w:rFonts w:ascii="Cambria" w:hAnsi="Cambria" w:cs="Baskerville"/>
          <w:lang w:val="en-CA" w:eastAsia="ja-JP"/>
        </w:rPr>
      </w:pPr>
    </w:p>
    <w:p w14:paraId="2A69C22D" w14:textId="175D0AA8" w:rsidR="001F4E98" w:rsidRPr="00932732" w:rsidRDefault="001F4E98" w:rsidP="001F4E98">
      <w:pPr>
        <w:jc w:val="both"/>
        <w:rPr>
          <w:rFonts w:ascii="Cambria" w:hAnsi="Cambria" w:cs="Baskerville"/>
          <w:u w:val="single"/>
          <w:lang w:val="en-CA" w:eastAsia="ja-JP"/>
        </w:rPr>
      </w:pPr>
      <w:r w:rsidRPr="00932732">
        <w:rPr>
          <w:rFonts w:ascii="Cambria" w:hAnsi="Cambria" w:cs="Baskerville"/>
          <w:lang w:val="en-CA" w:eastAsia="ja-JP"/>
        </w:rPr>
        <w:t xml:space="preserve">For the 1907-1944 and 1946-1998 periods, all the data and detailed explanations are found in the Excel file </w:t>
      </w:r>
      <w:hyperlink r:id="rId8" w:history="1">
        <w:r w:rsidRPr="00932732">
          <w:rPr>
            <w:rStyle w:val="Hyperlink"/>
            <w:rFonts w:ascii="Cambria" w:hAnsi="Cambria" w:cs="Baskerville"/>
            <w:lang w:val="en-CA" w:eastAsia="ja-JP"/>
          </w:rPr>
          <w:t>Switzerland.xlsx</w:t>
        </w:r>
      </w:hyperlink>
      <w:r w:rsidRPr="00932732">
        <w:rPr>
          <w:rFonts w:ascii="Cambria" w:hAnsi="Cambria" w:cs="Baskerville"/>
          <w:lang w:val="en-CA" w:eastAsia="ja-JP"/>
        </w:rPr>
        <w:t>, Tables S1-S8.</w:t>
      </w:r>
    </w:p>
    <w:p w14:paraId="03C4A7E6" w14:textId="77777777" w:rsidR="001F4E98" w:rsidRPr="00932732" w:rsidRDefault="001F4E98" w:rsidP="0029579F">
      <w:pPr>
        <w:jc w:val="both"/>
        <w:rPr>
          <w:rFonts w:ascii="Cambria" w:hAnsi="Cambria" w:cs="Baskerville"/>
          <w:lang w:val="en-CA" w:eastAsia="ja-JP"/>
        </w:rPr>
      </w:pPr>
    </w:p>
    <w:p w14:paraId="18057C7F" w14:textId="4FDBC423" w:rsidR="0029579F" w:rsidRPr="00932732" w:rsidRDefault="00310C8C" w:rsidP="007C6894">
      <w:pPr>
        <w:pStyle w:val="Heading2"/>
        <w:rPr>
          <w:rFonts w:ascii="Cambria" w:hAnsi="Cambria"/>
          <w:lang w:val="en-CA" w:eastAsia="ja-JP"/>
        </w:rPr>
      </w:pPr>
      <w:bookmarkStart w:id="2" w:name="_Toc430261417"/>
      <w:r w:rsidRPr="00932732">
        <w:rPr>
          <w:rFonts w:ascii="Cambria" w:hAnsi="Cambria"/>
          <w:lang w:val="en-CA" w:eastAsia="ja-JP"/>
        </w:rPr>
        <w:t>Official Swiss National Bank data</w:t>
      </w:r>
      <w:bookmarkEnd w:id="2"/>
      <w:r w:rsidR="001F4E98" w:rsidRPr="00932732">
        <w:rPr>
          <w:rFonts w:ascii="Cambria" w:hAnsi="Cambria"/>
          <w:lang w:val="en-CA" w:eastAsia="ja-JP"/>
        </w:rPr>
        <w:t xml:space="preserve"> </w:t>
      </w:r>
    </w:p>
    <w:p w14:paraId="2585DF97" w14:textId="77777777" w:rsidR="0029579F" w:rsidRPr="00932732" w:rsidRDefault="0029579F" w:rsidP="0029579F">
      <w:pPr>
        <w:jc w:val="both"/>
        <w:rPr>
          <w:rFonts w:ascii="Cambria" w:hAnsi="Cambria" w:cs="Baskerville"/>
          <w:lang w:val="en-CA" w:eastAsia="ja-JP"/>
        </w:rPr>
      </w:pPr>
    </w:p>
    <w:p w14:paraId="1BDF7A53"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The Swiss National Bank (SNB) has been publishing the value of all the securities in custody in Swiss banks since December 1998. The SNB conducts a yearly survey and a monthly survey. </w:t>
      </w:r>
    </w:p>
    <w:p w14:paraId="67648D27" w14:textId="77777777" w:rsidR="0029579F" w:rsidRPr="00932732" w:rsidRDefault="0029579F" w:rsidP="0029579F">
      <w:pPr>
        <w:jc w:val="both"/>
        <w:rPr>
          <w:rFonts w:ascii="Cambria" w:hAnsi="Cambria" w:cs="Baskerville"/>
          <w:lang w:val="en-CA" w:eastAsia="ja-JP"/>
        </w:rPr>
      </w:pPr>
    </w:p>
    <w:p w14:paraId="17880A8E"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The yearly survey is exhaustive, with the only exception that it excludes the securities held by Swiss banks on their books. That is, it only – but fully – covers the off-balance sheet custodial activities of Swiss banks. It gives the total market value of all securities held off-balance sheet in Switzerland, with a breakdown by residence of the owner (domestic/foreign), sector (“private customers”, “commercial customers”, “institutional investors,” which includes foreign banks but excludes Swiss banks), currency of the security, and type (bond, share, unit in collective investment scheme, and other). The results are published in the SNB’s Banks in Switzerland, table 38a, 38b and 38c.</w:t>
      </w:r>
    </w:p>
    <w:p w14:paraId="5909A6F3" w14:textId="77777777" w:rsidR="0029579F" w:rsidRPr="00932732" w:rsidRDefault="0029579F" w:rsidP="0029579F">
      <w:pPr>
        <w:jc w:val="both"/>
        <w:rPr>
          <w:rFonts w:ascii="Cambria" w:hAnsi="Cambria" w:cs="Baskerville"/>
          <w:lang w:val="en-CA" w:eastAsia="ja-JP"/>
        </w:rPr>
      </w:pPr>
    </w:p>
    <w:p w14:paraId="6256AF69"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The monthly survey covers around 95% of the securities listed in the yearly survey. The results are published in the SNB’s Monthly Statistical Bulletin, series D51a, D51b, D52, and D52a. Compared with the yearly survey, the monthly survey contains additional breakdowns. Most notably, it distinguishes Swiss from foreign securities (that is, securities issued by Swiss entities and by foreign entities). The slight difference in sample size explains why the data published in the SNB’s Banks in Switzerland and Monthly Statistical Bulletin do not match perfectly. </w:t>
      </w:r>
    </w:p>
    <w:p w14:paraId="32944801" w14:textId="77777777" w:rsidR="0029579F" w:rsidRPr="00932732" w:rsidRDefault="0029579F" w:rsidP="0029579F">
      <w:pPr>
        <w:jc w:val="both"/>
        <w:rPr>
          <w:rFonts w:ascii="Cambria" w:hAnsi="Cambria" w:cs="Baskerville"/>
          <w:lang w:val="en-CA" w:eastAsia="ja-JP"/>
        </w:rPr>
      </w:pPr>
    </w:p>
    <w:p w14:paraId="7D9B27AD"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The SNB custody dataset is truly unique. To my knowledge, no other country publishes similar statistics. Custodial surveys are admittedly a key input to the production of financial accounts, balance of payments and international investment positions across the world. But statisticians do not usually collect any information on the foreign securities held by foreigners with domestic custodians; and when they do, they do not release it on a systematic basis. Indeed, this information is useless for the compilation of national accounts, which are only concerned with the activity of resident units and their interaction with the rest of the world.</w:t>
      </w:r>
    </w:p>
    <w:p w14:paraId="444E0578" w14:textId="77777777" w:rsidR="0029579F" w:rsidRPr="00932732" w:rsidRDefault="0029579F" w:rsidP="0029579F">
      <w:pPr>
        <w:jc w:val="both"/>
        <w:rPr>
          <w:rFonts w:ascii="Cambria" w:hAnsi="Cambria" w:cs="Baskerville"/>
          <w:lang w:val="en-CA" w:eastAsia="ja-JP"/>
        </w:rPr>
      </w:pPr>
    </w:p>
    <w:p w14:paraId="00349C8C" w14:textId="468AA4E4"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A key strength of the SNB data is that they only relate to the portfolio securities held on the Swiss territories – i.e., covered by Swiss bank secrecy laws. This is in contrast to the “asset under management” (AuM) figures sometimes reported by private banks. Though rarely defined explicitly, these AuM include the portfolio securities that the banks keep in custody off their balance sheet. However, for the banks that have foreign branches or subsidiaries, the AuM figures add up assets held in different countries, subject to different level of bank-secrecy rules (e.g., automatic exchange of information with domestic tax authorities, vs. no exchange of information whatsoever); and because they span several countries, they cannot be used for balance of payments / international investment positions </w:t>
      </w:r>
      <w:r w:rsidR="004F75B1" w:rsidRPr="00932732">
        <w:rPr>
          <w:rFonts w:ascii="Cambria" w:hAnsi="Cambria" w:cs="Baskerville"/>
          <w:lang w:val="en-CA" w:eastAsia="ja-JP"/>
        </w:rPr>
        <w:t>statistics</w:t>
      </w:r>
      <w:r w:rsidRPr="00932732">
        <w:rPr>
          <w:rFonts w:ascii="Cambria" w:hAnsi="Cambria" w:cs="Baskerville"/>
          <w:lang w:val="en-CA" w:eastAsia="ja-JP"/>
        </w:rPr>
        <w:t xml:space="preserve">. </w:t>
      </w:r>
    </w:p>
    <w:p w14:paraId="7D665310" w14:textId="77777777" w:rsidR="0029579F" w:rsidRPr="00932732" w:rsidRDefault="0029579F" w:rsidP="0029579F">
      <w:pPr>
        <w:jc w:val="both"/>
        <w:rPr>
          <w:rFonts w:ascii="Cambria" w:hAnsi="Cambria" w:cs="Baskerville"/>
          <w:lang w:val="en-CA" w:eastAsia="ja-JP"/>
        </w:rPr>
      </w:pPr>
    </w:p>
    <w:p w14:paraId="4FE4A208" w14:textId="77777777" w:rsidR="004F75B1"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At the outset, it is worth stressing however that there are a number of issues wit the SNB data. The main issue is that the sectorial breakdowns provided by the SNB are deeply misleading. Among non-resident custody account holders, The SNB distinguishes private customers, commercial customers, and institutional investors. Some users of the SNB statistics focus on private customers accounts and disregard commercial and institutional accounts. They take seriously a distinction that is almost meaningless. In fact, commercial/institutional accounts include accounts opened by: (i) wealth-holdings companies (holdings, NOGA code 642, are treated as institutional investors by the SNB); (ii) trusts; (iii) financial intermediaries acting as “nominees”; (iv) sham corporations. </w:t>
      </w:r>
    </w:p>
    <w:p w14:paraId="6BFD5E77" w14:textId="77777777" w:rsidR="004F75B1" w:rsidRPr="00932732" w:rsidRDefault="004F75B1" w:rsidP="0029579F">
      <w:pPr>
        <w:jc w:val="both"/>
        <w:rPr>
          <w:rFonts w:ascii="Cambria" w:hAnsi="Cambria" w:cs="Baskerville"/>
          <w:lang w:val="en-CA" w:eastAsia="ja-JP"/>
        </w:rPr>
      </w:pPr>
    </w:p>
    <w:p w14:paraId="598D9375" w14:textId="1128F9A1"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Custodians are well aware that most assets of foreign high net worth individuals are actually held through those types of entities. But the SNB does not try to look through them. Other entities that are included under foreign commercial/institutional accounts include (v) foreign mutual funds (vi) foreign banks/insurance companies, (vii) foreign pension funds, and (viii) foreign central banks &amp; sovereign wealth funds (e.g., from Middle East countries). Among these, in all likelihood the only significant group is the last one. For the purpose of this research I treat Middle-East central banks / SWFs as private wealth, because in many cases there is simply no clear distinction between “private” and “public” holdings in these countries.  </w:t>
      </w:r>
    </w:p>
    <w:p w14:paraId="275EE777" w14:textId="77777777" w:rsidR="0029579F" w:rsidRPr="00932732" w:rsidRDefault="0029579F" w:rsidP="0029579F">
      <w:pPr>
        <w:jc w:val="both"/>
        <w:rPr>
          <w:rFonts w:ascii="Cambria" w:hAnsi="Cambria" w:cs="Baskerville"/>
          <w:lang w:val="en-CA" w:eastAsia="ja-JP"/>
        </w:rPr>
      </w:pPr>
    </w:p>
    <w:p w14:paraId="7EE292A6" w14:textId="6E44B95E"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I start </w:t>
      </w:r>
      <w:r w:rsidR="004F75B1" w:rsidRPr="00932732">
        <w:rPr>
          <w:rFonts w:ascii="Cambria" w:hAnsi="Cambria" w:cs="Baskerville"/>
          <w:lang w:val="en-CA" w:eastAsia="ja-JP"/>
        </w:rPr>
        <w:t xml:space="preserve">the analysis </w:t>
      </w:r>
      <w:r w:rsidRPr="00932732">
        <w:rPr>
          <w:rFonts w:ascii="Cambria" w:hAnsi="Cambria" w:cs="Baskerville"/>
          <w:lang w:val="en-CA" w:eastAsia="ja-JP"/>
        </w:rPr>
        <w:t xml:space="preserve">with </w:t>
      </w:r>
      <w:r w:rsidR="00D70961" w:rsidRPr="00932732">
        <w:rPr>
          <w:rFonts w:ascii="Cambria" w:hAnsi="Cambria" w:cs="Baskerville"/>
          <w:lang w:val="en-CA" w:eastAsia="ja-JP"/>
        </w:rPr>
        <w:t>the data on offshore portfolios</w:t>
      </w:r>
      <w:r w:rsidRPr="00932732">
        <w:rPr>
          <w:rFonts w:ascii="Cambria" w:hAnsi="Cambria" w:cs="Baskerville"/>
          <w:lang w:val="en-CA" w:eastAsia="ja-JP"/>
        </w:rPr>
        <w:t xml:space="preserve"> (i.e., portfolios of foreign securities that belong to non-residents) </w:t>
      </w:r>
      <w:r w:rsidR="004F75B1" w:rsidRPr="00932732">
        <w:rPr>
          <w:rFonts w:ascii="Cambria" w:hAnsi="Cambria" w:cs="Baskerville"/>
          <w:lang w:val="en-CA" w:eastAsia="ja-JP"/>
        </w:rPr>
        <w:t xml:space="preserve">as reported in the SNB’s Monthly Statistical Bulletin </w:t>
      </w:r>
      <w:r w:rsidRPr="00932732">
        <w:rPr>
          <w:rFonts w:ascii="Cambria" w:hAnsi="Cambria" w:cs="Baskerville"/>
          <w:lang w:val="en-CA" w:eastAsia="ja-JP"/>
        </w:rPr>
        <w:t xml:space="preserve">series D5_1a_M33. </w:t>
      </w:r>
    </w:p>
    <w:p w14:paraId="5520E303" w14:textId="77777777" w:rsidR="0029579F" w:rsidRPr="00932732" w:rsidRDefault="0029579F" w:rsidP="0029579F">
      <w:pPr>
        <w:jc w:val="both"/>
        <w:rPr>
          <w:rFonts w:ascii="Cambria" w:hAnsi="Cambria" w:cs="Baskerville"/>
          <w:lang w:val="en-CA" w:eastAsia="ja-JP"/>
        </w:rPr>
      </w:pPr>
    </w:p>
    <w:p w14:paraId="674E29BF" w14:textId="4E5BB2F0"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By dividing the amount of all portfolio securities reported in the yearly survey series D38b by those reported in the monthly survey, we can see that the monthly survey covers about 95-99% of all custodial holdings. On average over 1998-2012 it covered 96.8%, so I multiply all reported monthly data by 1/0.968. (See detailed computations in </w:t>
      </w:r>
      <w:hyperlink r:id="rId9" w:history="1">
        <w:r w:rsidR="00654EAC" w:rsidRPr="00932732">
          <w:rPr>
            <w:rStyle w:val="Hyperlink"/>
            <w:rFonts w:ascii="Cambria" w:hAnsi="Cambria" w:cs="Baskerville"/>
            <w:lang w:val="en-CA" w:eastAsia="ja-JP"/>
          </w:rPr>
          <w:t>Switzerland.xlsx</w:t>
        </w:r>
      </w:hyperlink>
      <w:r w:rsidR="00B934F2" w:rsidRPr="00932732">
        <w:rPr>
          <w:rFonts w:ascii="Cambria" w:hAnsi="Cambria" w:cs="Baskerville"/>
          <w:lang w:val="en-CA" w:eastAsia="ja-JP"/>
        </w:rPr>
        <w:t xml:space="preserve"> sheets FullPartialSample and Table S8</w:t>
      </w:r>
      <w:r w:rsidRPr="00932732">
        <w:rPr>
          <w:rFonts w:ascii="Cambria" w:hAnsi="Cambria" w:cs="Baskerville"/>
          <w:lang w:val="en-CA" w:eastAsia="ja-JP"/>
        </w:rPr>
        <w:t>).</w:t>
      </w:r>
    </w:p>
    <w:p w14:paraId="3CA475C1" w14:textId="77777777" w:rsidR="0029579F" w:rsidRPr="00932732" w:rsidRDefault="0029579F" w:rsidP="0029579F">
      <w:pPr>
        <w:jc w:val="both"/>
        <w:rPr>
          <w:rFonts w:ascii="Cambria" w:hAnsi="Cambria" w:cs="Baskerville"/>
          <w:lang w:val="en-CA" w:eastAsia="ja-JP"/>
        </w:rPr>
      </w:pPr>
    </w:p>
    <w:p w14:paraId="0C464023"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I also convert all reported monthly data in euros (and US$) using the official SNB exchange rates reported in the Monthly Statistical Bulletin, series G1. I use end-of-month exchange rates (the monthly exchange rates provided on the SNB website are monthly averages, and I reconstruct end-of-month data from the daily exchange rates provided).</w:t>
      </w:r>
    </w:p>
    <w:p w14:paraId="7E173C14" w14:textId="77777777" w:rsidR="0029579F" w:rsidRPr="00932732" w:rsidRDefault="0029579F" w:rsidP="0029579F">
      <w:pPr>
        <w:jc w:val="both"/>
        <w:rPr>
          <w:rFonts w:ascii="Cambria" w:hAnsi="Cambria" w:cs="Baskerville"/>
          <w:lang w:val="en-CA" w:eastAsia="ja-JP"/>
        </w:rPr>
      </w:pPr>
    </w:p>
    <w:p w14:paraId="5C68C266" w14:textId="12298D74" w:rsidR="0029579F" w:rsidRPr="00932732" w:rsidRDefault="00B934F2" w:rsidP="0029579F">
      <w:pPr>
        <w:jc w:val="both"/>
        <w:rPr>
          <w:rFonts w:ascii="Cambria" w:hAnsi="Cambria" w:cs="Baskerville"/>
          <w:lang w:val="en-CA" w:eastAsia="ja-JP"/>
        </w:rPr>
      </w:pPr>
      <w:r w:rsidRPr="00932732">
        <w:rPr>
          <w:rFonts w:ascii="Cambria" w:hAnsi="Cambria" w:cs="Baskerville"/>
          <w:lang w:val="en-CA" w:eastAsia="ja-JP"/>
        </w:rPr>
        <w:t>So for instance, the May 2013 data point</w:t>
      </w:r>
      <w:r w:rsidR="0029579F" w:rsidRPr="00932732">
        <w:rPr>
          <w:rFonts w:ascii="Cambria" w:hAnsi="Cambria" w:cs="Baskerville"/>
          <w:lang w:val="en-CA" w:eastAsia="ja-JP"/>
        </w:rPr>
        <w:t xml:space="preserve"> for the offshore portfolios (foreign securities held by foreigners) in Swiss banks is = (1,751.6 / 0.968) / 1.2406 = 1,458bn euros.</w:t>
      </w:r>
    </w:p>
    <w:p w14:paraId="39F6BC11" w14:textId="77777777" w:rsidR="0029579F" w:rsidRPr="00932732" w:rsidRDefault="0029579F" w:rsidP="0029579F">
      <w:pPr>
        <w:jc w:val="both"/>
        <w:rPr>
          <w:rFonts w:ascii="Cambria" w:hAnsi="Cambria" w:cs="Baskerville"/>
          <w:lang w:val="en-CA" w:eastAsia="ja-JP"/>
        </w:rPr>
      </w:pPr>
    </w:p>
    <w:p w14:paraId="49999910"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As explained in the book, this misses a number of things:</w:t>
      </w:r>
    </w:p>
    <w:p w14:paraId="2491E031" w14:textId="77777777" w:rsidR="0029579F" w:rsidRPr="00932732" w:rsidRDefault="0029579F" w:rsidP="0029579F">
      <w:pPr>
        <w:jc w:val="both"/>
        <w:rPr>
          <w:rFonts w:ascii="Cambria" w:hAnsi="Cambria" w:cs="Baskerville"/>
          <w:lang w:val="en-CA" w:eastAsia="ja-JP"/>
        </w:rPr>
      </w:pPr>
    </w:p>
    <w:p w14:paraId="51EB929F" w14:textId="499071E8" w:rsidR="00B934F2" w:rsidRPr="00932732" w:rsidRDefault="00AB7BA1" w:rsidP="0029579F">
      <w:pPr>
        <w:jc w:val="both"/>
        <w:rPr>
          <w:rFonts w:ascii="Cambria" w:hAnsi="Cambria" w:cs="Baskerville"/>
          <w:lang w:val="en-CA" w:eastAsia="ja-JP"/>
        </w:rPr>
      </w:pPr>
      <w:r w:rsidRPr="00932732">
        <w:rPr>
          <w:rFonts w:ascii="Cambria" w:hAnsi="Cambria" w:cs="Baskerville"/>
          <w:u w:val="single"/>
          <w:lang w:val="en-CA" w:eastAsia="ja-JP"/>
        </w:rPr>
        <w:t xml:space="preserve">1) </w:t>
      </w:r>
      <w:r w:rsidR="0029579F" w:rsidRPr="00932732">
        <w:rPr>
          <w:rFonts w:ascii="Cambria" w:hAnsi="Cambria" w:cs="Baskerville"/>
          <w:u w:val="single"/>
          <w:lang w:val="en-CA" w:eastAsia="ja-JP"/>
        </w:rPr>
        <w:t>Fiduciary deposits</w:t>
      </w:r>
      <w:r w:rsidR="0029579F" w:rsidRPr="00932732">
        <w:rPr>
          <w:rFonts w:ascii="Cambria" w:hAnsi="Cambria" w:cs="Baskerville"/>
          <w:lang w:val="en-CA" w:eastAsia="ja-JP"/>
        </w:rPr>
        <w:t>. Monthly data are available in the Monthly Statistical Bulletin. There are two different scope of reporting entities: parent company and bank office. The correct one is bank office. “Parent company” consolidates the fiduciary liabilities of</w:t>
      </w:r>
      <w:r w:rsidR="00B934F2" w:rsidRPr="00932732">
        <w:rPr>
          <w:rFonts w:ascii="Cambria" w:hAnsi="Cambria" w:cs="Baskerville"/>
          <w:lang w:val="en-CA" w:eastAsia="ja-JP"/>
        </w:rPr>
        <w:t>, say,</w:t>
      </w:r>
      <w:r w:rsidR="0029579F" w:rsidRPr="00932732">
        <w:rPr>
          <w:rFonts w:ascii="Cambria" w:hAnsi="Cambria" w:cs="Baskerville"/>
          <w:lang w:val="en-CA" w:eastAsia="ja-JP"/>
        </w:rPr>
        <w:t xml:space="preserve"> UBS Switzerland (= money put by foreigners in Zurich) with the fiduciary assets held by</w:t>
      </w:r>
      <w:r w:rsidR="00B934F2" w:rsidRPr="00932732">
        <w:rPr>
          <w:rFonts w:ascii="Cambria" w:hAnsi="Cambria" w:cs="Baskerville"/>
          <w:lang w:val="en-CA" w:eastAsia="ja-JP"/>
        </w:rPr>
        <w:t>, say,</w:t>
      </w:r>
      <w:r w:rsidR="0029579F" w:rsidRPr="00932732">
        <w:rPr>
          <w:rFonts w:ascii="Cambria" w:hAnsi="Cambria" w:cs="Baskerville"/>
          <w:lang w:val="en-CA" w:eastAsia="ja-JP"/>
        </w:rPr>
        <w:t xml:space="preserve"> UBS Switzerland in UBS Jersey (= investments made on behalf of the depositors by UBS Switzerland out of Switzerland in order for the deposits to avoid the 35% advance tax), hence totals are much too low. As of May 2013, total fiduciary deposits held by foreigners amounted to 165bn CHF (133bn euros), see series D4_1a. </w:t>
      </w:r>
    </w:p>
    <w:p w14:paraId="16B8C008" w14:textId="77777777" w:rsidR="00B934F2" w:rsidRPr="00932732" w:rsidRDefault="00B934F2" w:rsidP="0029579F">
      <w:pPr>
        <w:jc w:val="both"/>
        <w:rPr>
          <w:rFonts w:ascii="Cambria" w:hAnsi="Cambria" w:cs="Baskerville"/>
          <w:lang w:val="en-CA" w:eastAsia="ja-JP"/>
        </w:rPr>
      </w:pPr>
    </w:p>
    <w:p w14:paraId="0B52886D" w14:textId="5564CA7B"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Note that this only captures fiduciary deposits recorded as “foreign-owned”, but there are also “domestic-owned” fiduciary deposits which in fact include a large chunk of deposits held by Liechtenstein foundations (Liechtenstein is considered part of Switzerland for the purpose of these statistics). Data on “domestic-owned” fiduciary deposits are available in the Monthly Statistical Bulletin, series 2E. As of May 2013, those amounted to about 25bn euros, so that total fiduciary deposits equaled 133bn + 25bn = 158bn euros. </w:t>
      </w:r>
    </w:p>
    <w:p w14:paraId="78488227" w14:textId="77777777" w:rsidR="0029579F" w:rsidRPr="00932732" w:rsidRDefault="0029579F" w:rsidP="0029579F">
      <w:pPr>
        <w:jc w:val="both"/>
        <w:rPr>
          <w:rFonts w:ascii="Cambria" w:hAnsi="Cambria" w:cs="Baskerville"/>
          <w:lang w:val="en-CA" w:eastAsia="ja-JP"/>
        </w:rPr>
      </w:pPr>
    </w:p>
    <w:p w14:paraId="10B61A17" w14:textId="456EBEE7" w:rsidR="0029579F" w:rsidRPr="00932732" w:rsidRDefault="00AB7BA1" w:rsidP="0029579F">
      <w:pPr>
        <w:jc w:val="both"/>
        <w:rPr>
          <w:rFonts w:ascii="Cambria" w:hAnsi="Cambria" w:cs="Baskerville"/>
          <w:lang w:val="en-CA" w:eastAsia="ja-JP"/>
        </w:rPr>
      </w:pPr>
      <w:r w:rsidRPr="00932732">
        <w:rPr>
          <w:rFonts w:ascii="Cambria" w:hAnsi="Cambria" w:cs="Baskerville"/>
          <w:u w:val="single"/>
          <w:lang w:val="en-CA" w:eastAsia="ja-JP"/>
        </w:rPr>
        <w:t xml:space="preserve">2) </w:t>
      </w:r>
      <w:r w:rsidR="0029579F" w:rsidRPr="00932732">
        <w:rPr>
          <w:rFonts w:ascii="Cambria" w:hAnsi="Cambria" w:cs="Baskerville"/>
          <w:u w:val="single"/>
          <w:lang w:val="en-CA" w:eastAsia="ja-JP"/>
        </w:rPr>
        <w:t>Swiss securities held by foreigners in custody in Swiss banks</w:t>
      </w:r>
      <w:r w:rsidR="0029579F" w:rsidRPr="00932732">
        <w:rPr>
          <w:rFonts w:ascii="Cambria" w:hAnsi="Cambria" w:cs="Baskerville"/>
          <w:lang w:val="en-CA" w:eastAsia="ja-JP"/>
        </w:rPr>
        <w:t>. This is a bit tricky, because basically all Swiss equities are ultimately held in custody in Switzerland (for settlements reasons), irrespective of whether they are primarily held through an offshore or an onshore account. So it is not possible to use the amount of foreign-owned Swiss securities reported in the SNB’s monthly bulletin as an estimate for the amount of Swiss securities held on Swiss offshore bank account.</w:t>
      </w:r>
    </w:p>
    <w:p w14:paraId="14012A6A" w14:textId="77777777" w:rsidR="00AB7BA1" w:rsidRPr="00932732" w:rsidRDefault="00AB7BA1" w:rsidP="0029579F">
      <w:pPr>
        <w:jc w:val="both"/>
        <w:rPr>
          <w:rFonts w:ascii="Cambria" w:hAnsi="Cambria" w:cs="Baskerville"/>
          <w:lang w:val="en-CA" w:eastAsia="ja-JP"/>
        </w:rPr>
      </w:pPr>
    </w:p>
    <w:p w14:paraId="3513AB04" w14:textId="1B481D15"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On the other hand it is pretty clear that some tax evaders have Swiss securities (or fund shares) on their accounts, so completely disregarding those (as I did in Zucman, 2013) is not totally satisfactory either: it leads to under-estimating the amount of offshore wealth managed in Switzerland. Many mutual fund shares do not pay dividends (pure capitalization funds), and many others are mostly invested in foreign securities; in both cases the 35% Swiss advance tax can be avoided (e.g., when more than 80% of a fund is invested in foreign securities there is an affidavit procedure </w:t>
      </w:r>
      <w:r w:rsidR="00AB7BA1" w:rsidRPr="00932732">
        <w:rPr>
          <w:rFonts w:ascii="Cambria" w:hAnsi="Cambria" w:cs="Baskerville"/>
          <w:lang w:val="en-CA" w:eastAsia="ja-JP"/>
        </w:rPr>
        <w:t>that enables foreign fund share</w:t>
      </w:r>
      <w:r w:rsidRPr="00932732">
        <w:rPr>
          <w:rFonts w:ascii="Cambria" w:hAnsi="Cambria" w:cs="Baskerville"/>
          <w:lang w:val="en-CA" w:eastAsia="ja-JP"/>
        </w:rPr>
        <w:t>holders to escape the advance tax). So having Swiss fund shares can be tax-efficient. The same is true for equities (i.e., many equities pay little dividend and most of the return comes from capital gains, but there is no advance tax on realized capital gains).</w:t>
      </w:r>
    </w:p>
    <w:p w14:paraId="3890658D" w14:textId="77777777" w:rsidR="00AB7BA1" w:rsidRPr="00932732" w:rsidRDefault="00AB7BA1" w:rsidP="0029579F">
      <w:pPr>
        <w:jc w:val="both"/>
        <w:rPr>
          <w:rFonts w:ascii="Cambria" w:hAnsi="Cambria" w:cs="Baskerville"/>
          <w:lang w:val="en-CA" w:eastAsia="ja-JP"/>
        </w:rPr>
      </w:pPr>
    </w:p>
    <w:p w14:paraId="1694B189" w14:textId="77777777" w:rsidR="00AB7BA1"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Swiss securities held by foreign individuals on their offshore Swiss accounts will be recorded as liabilities by Switzerland but nowhere as assets. So ultimately the method I retained to estimate those securities is to look at the discrepancy between Swiss-reported portfolio equity (including fund shares) liabilities and creditor-derived liabilities. I assume that 100% of the discrepancy comes from offshore holdings of Swiss securities in Switzerland (a small fraction of those unreported Swiss securities may be held in other tax havens; plus some of the discrepancy may of course have to do with pitfalls in some countries’ asset surveys, but I disregard those two issues here; the sums involved are small so this does not have any important effect on anything). </w:t>
      </w:r>
    </w:p>
    <w:p w14:paraId="759BA774" w14:textId="77777777" w:rsidR="00AB7BA1" w:rsidRPr="00932732" w:rsidRDefault="00AB7BA1" w:rsidP="0029579F">
      <w:pPr>
        <w:jc w:val="both"/>
        <w:rPr>
          <w:rFonts w:ascii="Cambria" w:hAnsi="Cambria" w:cs="Baskerville"/>
          <w:lang w:val="en-CA" w:eastAsia="ja-JP"/>
        </w:rPr>
      </w:pPr>
    </w:p>
    <w:p w14:paraId="4E9476F1" w14:textId="16763B47" w:rsidR="0029579F" w:rsidRPr="00932732" w:rsidRDefault="00AB7BA1" w:rsidP="0029579F">
      <w:pPr>
        <w:jc w:val="both"/>
        <w:rPr>
          <w:rFonts w:ascii="Cambria" w:hAnsi="Cambria" w:cs="Baskerville"/>
          <w:lang w:val="en-CA" w:eastAsia="ja-JP"/>
        </w:rPr>
      </w:pPr>
      <w:r w:rsidRPr="00932732">
        <w:rPr>
          <w:rFonts w:ascii="Cambria" w:hAnsi="Cambria" w:cs="Baskerville"/>
          <w:lang w:val="en-CA" w:eastAsia="ja-JP"/>
        </w:rPr>
        <w:t>For the 2000</w:t>
      </w:r>
      <w:r w:rsidR="0029579F" w:rsidRPr="00932732">
        <w:rPr>
          <w:rFonts w:ascii="Cambria" w:hAnsi="Cambria" w:cs="Baskerville"/>
          <w:lang w:val="en-CA" w:eastAsia="ja-JP"/>
        </w:rPr>
        <w:t xml:space="preserve">s decade, data are from the </w:t>
      </w:r>
      <w:hyperlink r:id="rId10" w:history="1">
        <w:r w:rsidR="0029579F" w:rsidRPr="00F12781">
          <w:rPr>
            <w:rStyle w:val="Hyperlink"/>
            <w:rFonts w:ascii="Cambria" w:hAnsi="Cambria" w:cs="Baskerville"/>
            <w:lang w:val="en-CA" w:eastAsia="ja-JP"/>
          </w:rPr>
          <w:t>Appendix</w:t>
        </w:r>
      </w:hyperlink>
      <w:bookmarkStart w:id="3" w:name="_GoBack"/>
      <w:bookmarkEnd w:id="3"/>
      <w:r w:rsidR="0029579F" w:rsidRPr="00932732">
        <w:rPr>
          <w:rFonts w:ascii="Cambria" w:hAnsi="Cambria" w:cs="Baskerville"/>
          <w:lang w:val="en-CA" w:eastAsia="ja-JP"/>
        </w:rPr>
        <w:t xml:space="preserve"> of Zucman (2013, Ta</w:t>
      </w:r>
      <w:r w:rsidRPr="00932732">
        <w:rPr>
          <w:rFonts w:ascii="Cambria" w:hAnsi="Cambria" w:cs="Baskerville"/>
          <w:lang w:val="en-CA" w:eastAsia="ja-JP"/>
        </w:rPr>
        <w:t>ble A3). To get an estimate for</w:t>
      </w:r>
      <w:r w:rsidR="0029579F" w:rsidRPr="00932732">
        <w:rPr>
          <w:rFonts w:ascii="Cambria" w:hAnsi="Cambria" w:cs="Baskerville"/>
          <w:lang w:val="en-CA" w:eastAsia="ja-JP"/>
        </w:rPr>
        <w:t xml:space="preserve"> 2013, I use the latest available data, which are those for 2011. At that time, Swiss equity liabilities were $624bn, CPIS-derived liabilities were $547bn (I assume that non-CPIS countries equity assets on Switzerland = 0), so the discrepancy amounted to $77bn, i.e. 58bn euros.</w:t>
      </w:r>
    </w:p>
    <w:p w14:paraId="30A3E820" w14:textId="77777777" w:rsidR="0029579F" w:rsidRPr="00932732" w:rsidRDefault="0029579F" w:rsidP="0029579F">
      <w:pPr>
        <w:jc w:val="both"/>
        <w:rPr>
          <w:rFonts w:ascii="Cambria" w:hAnsi="Cambria" w:cs="Baskerville"/>
          <w:lang w:val="en-CA" w:eastAsia="ja-JP"/>
        </w:rPr>
      </w:pPr>
    </w:p>
    <w:p w14:paraId="672C170C" w14:textId="77777777" w:rsidR="004607C5" w:rsidRPr="00932732" w:rsidRDefault="004607C5" w:rsidP="0029579F">
      <w:pPr>
        <w:jc w:val="both"/>
        <w:rPr>
          <w:rFonts w:ascii="Cambria" w:hAnsi="Cambria" w:cs="Baskerville"/>
          <w:lang w:val="en-CA" w:eastAsia="ja-JP"/>
        </w:rPr>
      </w:pPr>
      <w:r w:rsidRPr="00932732">
        <w:rPr>
          <w:rFonts w:ascii="Cambria" w:hAnsi="Cambria" w:cs="Baskerville"/>
          <w:u w:val="single"/>
          <w:lang w:val="en-CA" w:eastAsia="ja-JP"/>
        </w:rPr>
        <w:t xml:space="preserve">3) </w:t>
      </w:r>
      <w:r w:rsidR="0029579F" w:rsidRPr="00932732">
        <w:rPr>
          <w:rFonts w:ascii="Cambria" w:hAnsi="Cambria" w:cs="Baskerville"/>
          <w:u w:val="single"/>
          <w:lang w:val="en-CA" w:eastAsia="ja-JP"/>
        </w:rPr>
        <w:t>Offshore portfolios incorrectly recorded as Swiss-owned</w:t>
      </w:r>
      <w:r w:rsidR="0029579F" w:rsidRPr="00932732">
        <w:rPr>
          <w:rFonts w:ascii="Cambria" w:hAnsi="Cambria" w:cs="Baskerville"/>
          <w:lang w:val="en-CA" w:eastAsia="ja-JP"/>
        </w:rPr>
        <w:t xml:space="preserve">. Foreign clients who provide a Swiss address, or that have their wealth held through a Swiss nominee (either a banker, lawyer, fiduciary, etc.) will have their holdings recorded as Swiss-owned. The SNB does not try to “look-through” these intermediaries; it just counts the corresponding assets as Swiss-owned. Moreover, the SNB considers Liechtenstein as part of the Swiss territory; this means for instance that all portfolios held by foundations set up by foreigners in Liechtenstein and deposited in Switzerland are counted as Swiss-owned (note, however, that the SNB custodial data do not cover the securities entrusted to banks domiciled in Liechtenstein; it only includes Swiss-domiciled banks). </w:t>
      </w:r>
    </w:p>
    <w:p w14:paraId="579A858C" w14:textId="77777777" w:rsidR="004607C5" w:rsidRPr="00932732" w:rsidRDefault="004607C5" w:rsidP="0029579F">
      <w:pPr>
        <w:jc w:val="both"/>
        <w:rPr>
          <w:rFonts w:ascii="Cambria" w:hAnsi="Cambria" w:cs="Baskerville"/>
          <w:lang w:val="en-CA" w:eastAsia="ja-JP"/>
        </w:rPr>
      </w:pPr>
    </w:p>
    <w:p w14:paraId="5E022852" w14:textId="77777777" w:rsidR="004607C5"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There is no simple way to estimate the amount of portfolio wealth incorrectly recorded as “Swiss-owned”. One indication that those holdings are substantial is the extraordinary amount of mutual fund shares recorded by the SNB as being owned by Swiss residents. As of May 2013 for instance, those mutual fund shares amounted to more than 815bn Swiss francs, which is about 135% of Swiss GDP. By contrast, in France mutual fund shares held by French residents amount to about 60% of GDP, i.e. 1,238bn as of end 2011. </w:t>
      </w:r>
    </w:p>
    <w:p w14:paraId="6E86C796" w14:textId="77777777" w:rsidR="004607C5" w:rsidRPr="00932732" w:rsidRDefault="004607C5" w:rsidP="0029579F">
      <w:pPr>
        <w:jc w:val="both"/>
        <w:rPr>
          <w:rFonts w:ascii="Cambria" w:hAnsi="Cambria" w:cs="Baskerville"/>
          <w:lang w:val="en-CA" w:eastAsia="ja-JP"/>
        </w:rPr>
      </w:pPr>
    </w:p>
    <w:p w14:paraId="43A3C731" w14:textId="77777777" w:rsidR="004607C5"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Especially mysterious are the more than CHF 90bn of mutual fund shares held by “financial asset management institutions other than Swiss funds, banks (whose holdings are not included in the SNB custodial data), insurance companies, pension funds, and financial auxiliaries.” In all likelihood a substantial chunk of these assets (possibly all) correspond to mutual fund shares managed by various types of nominees on behalf of foreign residents. </w:t>
      </w:r>
    </w:p>
    <w:p w14:paraId="71B05550" w14:textId="77777777" w:rsidR="004607C5" w:rsidRPr="00932732" w:rsidRDefault="004607C5" w:rsidP="0029579F">
      <w:pPr>
        <w:jc w:val="both"/>
        <w:rPr>
          <w:rFonts w:ascii="Cambria" w:hAnsi="Cambria" w:cs="Baskerville"/>
          <w:lang w:val="en-CA" w:eastAsia="ja-JP"/>
        </w:rPr>
      </w:pPr>
    </w:p>
    <w:p w14:paraId="1B0CCEAC" w14:textId="7D1D8CD2"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Accordingly, I retain a rough (and extremely conservative) estimate of about 100 billion dollars for the offshore portfolios incorrectly attributed to Swiss owners. Note that if Swiss residents hold as much mutual fund shares as French residents (60% of GDP, i.e. about 360bn CHF) then actually more than CHF 450bn of mutual fund shares presently recorded as Swiss-owned should actually be recorded as foreign-owned… This is an important area in which additional research needs to be conducted. It is very likely that at this stage I under-estimate the amount of offshore wealth in Switzerland because I do not fully account for the assets recorded as Swiss-owned in the SNB custody survey that in fact belong to foreign individuals. </w:t>
      </w:r>
    </w:p>
    <w:p w14:paraId="1208D93F" w14:textId="77777777" w:rsidR="0029579F" w:rsidRPr="00932732" w:rsidRDefault="0029579F" w:rsidP="0029579F">
      <w:pPr>
        <w:jc w:val="both"/>
        <w:rPr>
          <w:rFonts w:ascii="Cambria" w:hAnsi="Cambria" w:cs="Baskerville"/>
          <w:lang w:val="en-CA" w:eastAsia="ja-JP"/>
        </w:rPr>
      </w:pPr>
    </w:p>
    <w:p w14:paraId="78831396"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Regarding portfolio compositions, the shares for the different asset classes are taken from the SNB Monthly Statistical Bulletin series D5_1a_M33. In May 2013, mutual fund shares accounted for 37% of the offshore portfolios, bonds and notes for 31%, equities for 24%, and structured products for 7%. Adding my estimate of the fund shares held by “fake” Swiss residents, we can consider that about 42% of the offshore fortunes in Switzerland are made of fund shares, which is 0.42 x 1,800bn = 750bn euros. According to the Swiss fund data analyzed in Zucman (2013), about 4,600 funds distributed in Switzerland are incorporated in Luxembourg, 1,200 in Ireland, and almost all the rest in Switzerland. So the amount of Luxembourg fund shares held by foreign residents on their Swiss accounts comes to 4600 / (4600 + 1200) x 750bn = about 600bn euros, and the amount of Irish fund shares to about 150bn euros (this disregards the small amount of Swiss funds with affidavit, and non-Luxembourg, non-Irish foreign funds).</w:t>
      </w:r>
    </w:p>
    <w:p w14:paraId="57934931" w14:textId="77777777" w:rsidR="0029579F" w:rsidRPr="00932732" w:rsidRDefault="0029579F" w:rsidP="0029579F">
      <w:pPr>
        <w:jc w:val="both"/>
        <w:rPr>
          <w:rFonts w:ascii="Cambria" w:hAnsi="Cambria" w:cs="Baskerville"/>
          <w:lang w:val="en-CA" w:eastAsia="ja-JP"/>
        </w:rPr>
      </w:pPr>
    </w:p>
    <w:p w14:paraId="7CB62F1C" w14:textId="5402A5A5" w:rsidR="003D3978" w:rsidRPr="00932732" w:rsidRDefault="00D70961" w:rsidP="00D70961">
      <w:pPr>
        <w:rPr>
          <w:rFonts w:ascii="Cambria" w:hAnsi="Cambria" w:cs="Baskerville"/>
          <w:lang w:val="en-CA" w:eastAsia="ja-JP"/>
        </w:rPr>
      </w:pPr>
      <w:r w:rsidRPr="00932732">
        <w:rPr>
          <w:rFonts w:ascii="Cambria" w:hAnsi="Cambria" w:cs="Baskerville"/>
          <w:lang w:val="en-CA" w:eastAsia="ja-JP"/>
        </w:rPr>
        <w:t xml:space="preserve">Note that the series reported in the Excel file </w:t>
      </w:r>
      <w:hyperlink r:id="rId11" w:history="1">
        <w:r w:rsidRPr="00932732">
          <w:rPr>
            <w:rStyle w:val="Hyperlink"/>
            <w:rFonts w:ascii="Cambria" w:hAnsi="Cambria" w:cs="Baskerville"/>
            <w:lang w:val="en-CA" w:eastAsia="ja-JP"/>
          </w:rPr>
          <w:t>Switzerland</w:t>
        </w:r>
      </w:hyperlink>
      <w:r w:rsidRPr="00932732">
        <w:rPr>
          <w:rFonts w:ascii="Cambria" w:hAnsi="Cambria" w:cs="Baskerville"/>
          <w:lang w:val="en-CA" w:eastAsia="ja-JP"/>
        </w:rPr>
        <w:t xml:space="preserve"> stop in May 2013. This file is not updated</w:t>
      </w:r>
      <w:r w:rsidR="00DE1A30" w:rsidRPr="00932732">
        <w:rPr>
          <w:rFonts w:ascii="Cambria" w:hAnsi="Cambria" w:cs="Baskerville"/>
          <w:lang w:val="en-CA" w:eastAsia="ja-JP"/>
        </w:rPr>
        <w:t xml:space="preserve"> anymore</w:t>
      </w:r>
      <w:r w:rsidRPr="00932732">
        <w:rPr>
          <w:rFonts w:ascii="Cambria" w:hAnsi="Cambria" w:cs="Baskerville"/>
          <w:lang w:val="en-CA" w:eastAsia="ja-JP"/>
        </w:rPr>
        <w:t xml:space="preserve">. Regularly updated series on the amount of wealth held in Switzerland by foreigners can be found in the </w:t>
      </w:r>
      <w:hyperlink r:id="rId12" w:history="1">
        <w:r w:rsidRPr="00932732">
          <w:rPr>
            <w:rStyle w:val="Hyperlink"/>
            <w:rFonts w:ascii="Cambria" w:hAnsi="Cambria" w:cs="Baskerville"/>
            <w:lang w:val="en-CA" w:eastAsia="ja-JP"/>
          </w:rPr>
          <w:t>Excel Appendix</w:t>
        </w:r>
      </w:hyperlink>
      <w:r w:rsidRPr="00932732">
        <w:rPr>
          <w:rFonts w:ascii="Cambria" w:hAnsi="Cambria" w:cs="Baskerville"/>
          <w:lang w:val="en-CA" w:eastAsia="ja-JP"/>
        </w:rPr>
        <w:t xml:space="preserve"> to G. Zucman (2014), </w:t>
      </w:r>
      <w:hyperlink r:id="rId13" w:history="1">
        <w:r w:rsidRPr="00932732">
          <w:rPr>
            <w:rStyle w:val="Hyperlink"/>
            <w:rFonts w:ascii="Cambria" w:hAnsi="Cambria" w:cs="Baskerville"/>
            <w:lang w:val="en-CA" w:eastAsia="ja-JP"/>
          </w:rPr>
          <w:t>“Taxing Across Borders”</w:t>
        </w:r>
      </w:hyperlink>
      <w:r w:rsidRPr="00932732">
        <w:rPr>
          <w:rFonts w:ascii="Cambria" w:hAnsi="Cambria" w:cs="Baskerville"/>
          <w:lang w:val="en-CA" w:eastAsia="ja-JP"/>
        </w:rPr>
        <w:t xml:space="preserve">, </w:t>
      </w:r>
      <w:r w:rsidRPr="00932732">
        <w:rPr>
          <w:rFonts w:ascii="Cambria" w:hAnsi="Cambria" w:cs="Baskerville"/>
          <w:i/>
          <w:lang w:val="en-CA" w:eastAsia="ja-JP"/>
        </w:rPr>
        <w:t>Journal of Economic Perspectives</w:t>
      </w:r>
      <w:r w:rsidR="001C09AE" w:rsidRPr="00932732">
        <w:rPr>
          <w:rFonts w:ascii="Cambria" w:hAnsi="Cambria" w:cs="Baskerville"/>
          <w:lang w:val="en-CA" w:eastAsia="ja-JP"/>
        </w:rPr>
        <w:t>.</w:t>
      </w:r>
    </w:p>
    <w:p w14:paraId="4B7A53E2" w14:textId="119FF5AD" w:rsidR="003177F7" w:rsidRPr="00932732" w:rsidRDefault="003177F7">
      <w:pPr>
        <w:spacing w:line="240" w:lineRule="auto"/>
        <w:rPr>
          <w:rFonts w:ascii="Cambria" w:hAnsi="Cambria" w:cs="Baskerville"/>
          <w:lang w:val="en-CA" w:eastAsia="ja-JP"/>
        </w:rPr>
      </w:pPr>
      <w:r w:rsidRPr="00932732">
        <w:rPr>
          <w:rFonts w:ascii="Cambria" w:hAnsi="Cambria" w:cs="Baskerville"/>
          <w:lang w:val="en-CA" w:eastAsia="ja-JP"/>
        </w:rPr>
        <w:br w:type="page"/>
      </w:r>
    </w:p>
    <w:p w14:paraId="40A09A95" w14:textId="77777777" w:rsidR="00352489" w:rsidRPr="00932732" w:rsidRDefault="00352489" w:rsidP="00352489">
      <w:pPr>
        <w:jc w:val="both"/>
        <w:rPr>
          <w:rFonts w:ascii="Cambria" w:hAnsi="Cambria" w:cs="Baskerville"/>
          <w:lang w:val="en-CA" w:eastAsia="ja-JP"/>
        </w:rPr>
      </w:pPr>
    </w:p>
    <w:p w14:paraId="05B25ADF" w14:textId="75D76880" w:rsidR="00DE61F7" w:rsidRPr="00932732" w:rsidRDefault="00A07664" w:rsidP="00DE61F7">
      <w:pPr>
        <w:pStyle w:val="Heading1"/>
        <w:jc w:val="center"/>
        <w:rPr>
          <w:rFonts w:ascii="Cambria" w:hAnsi="Cambria"/>
          <w:lang w:val="en-CA" w:eastAsia="ja-JP"/>
        </w:rPr>
      </w:pPr>
      <w:bookmarkStart w:id="4" w:name="_Toc430261418"/>
      <w:r w:rsidRPr="00932732">
        <w:rPr>
          <w:rFonts w:ascii="Cambria" w:hAnsi="Cambria"/>
          <w:lang w:val="en-CA" w:eastAsia="ja-JP"/>
        </w:rPr>
        <w:t>Chapter 2: The Missing Wealth of Nations</w:t>
      </w:r>
      <w:bookmarkEnd w:id="4"/>
    </w:p>
    <w:p w14:paraId="57859003" w14:textId="77777777" w:rsidR="00450772" w:rsidRPr="00932732" w:rsidRDefault="00450772" w:rsidP="0029579F">
      <w:pPr>
        <w:jc w:val="both"/>
        <w:rPr>
          <w:rFonts w:ascii="Cambria" w:hAnsi="Cambria" w:cs="Baskerville"/>
          <w:lang w:val="en-CA" w:eastAsia="ja-JP"/>
        </w:rPr>
      </w:pPr>
    </w:p>
    <w:p w14:paraId="310E7104" w14:textId="77777777" w:rsidR="002E4D4E" w:rsidRPr="00932732" w:rsidRDefault="002E4D4E" w:rsidP="002E4D4E">
      <w:pPr>
        <w:pStyle w:val="Heading2"/>
        <w:rPr>
          <w:rFonts w:ascii="Cambria" w:hAnsi="Cambria"/>
          <w:lang w:val="en-CA" w:eastAsia="ja-JP"/>
        </w:rPr>
      </w:pPr>
    </w:p>
    <w:p w14:paraId="09FA96C9" w14:textId="05C1215C" w:rsidR="00450772" w:rsidRPr="00932732" w:rsidRDefault="00A07664" w:rsidP="002E4D4E">
      <w:pPr>
        <w:pStyle w:val="Heading2"/>
        <w:rPr>
          <w:rFonts w:ascii="Cambria" w:hAnsi="Cambria"/>
          <w:lang w:val="en-CA" w:eastAsia="ja-JP"/>
        </w:rPr>
      </w:pPr>
      <w:bookmarkStart w:id="5" w:name="_Toc430261419"/>
      <w:r w:rsidRPr="00932732">
        <w:rPr>
          <w:rFonts w:ascii="Cambria" w:hAnsi="Cambria"/>
          <w:lang w:val="en-CA" w:eastAsia="ja-JP"/>
        </w:rPr>
        <w:t>Updat</w:t>
      </w:r>
      <w:r w:rsidR="005C533E" w:rsidRPr="00932732">
        <w:rPr>
          <w:rFonts w:ascii="Cambria" w:hAnsi="Cambria"/>
          <w:lang w:val="en-CA" w:eastAsia="ja-JP"/>
        </w:rPr>
        <w:t>e</w:t>
      </w:r>
      <w:r w:rsidRPr="00932732">
        <w:rPr>
          <w:rFonts w:ascii="Cambria" w:hAnsi="Cambria"/>
          <w:lang w:val="en-CA" w:eastAsia="ja-JP"/>
        </w:rPr>
        <w:t xml:space="preserve"> of Zucman. G</w:t>
      </w:r>
      <w:r w:rsidR="00450772" w:rsidRPr="00932732">
        <w:rPr>
          <w:rFonts w:ascii="Cambria" w:hAnsi="Cambria"/>
          <w:lang w:val="en-CA" w:eastAsia="ja-JP"/>
        </w:rPr>
        <w:t xml:space="preserve"> </w:t>
      </w:r>
      <w:r w:rsidRPr="00932732">
        <w:rPr>
          <w:rFonts w:ascii="Cambria" w:hAnsi="Cambria"/>
          <w:lang w:val="en-CA" w:eastAsia="ja-JP"/>
        </w:rPr>
        <w:t>“Missing Wealth of Nations”</w:t>
      </w:r>
      <w:r w:rsidR="00450772" w:rsidRPr="00932732">
        <w:rPr>
          <w:rFonts w:ascii="Cambria" w:hAnsi="Cambria"/>
          <w:lang w:val="en-CA" w:eastAsia="ja-JP"/>
        </w:rPr>
        <w:t xml:space="preserve"> (</w:t>
      </w:r>
      <w:r w:rsidR="008923E1" w:rsidRPr="00932732">
        <w:rPr>
          <w:rFonts w:ascii="Cambria" w:hAnsi="Cambria"/>
          <w:lang w:val="en-CA" w:eastAsia="ja-JP"/>
        </w:rPr>
        <w:t>QJE’</w:t>
      </w:r>
      <w:r w:rsidR="00450772" w:rsidRPr="00932732">
        <w:rPr>
          <w:rFonts w:ascii="Cambria" w:hAnsi="Cambria"/>
          <w:lang w:val="en-CA" w:eastAsia="ja-JP"/>
        </w:rPr>
        <w:t>2013)</w:t>
      </w:r>
      <w:bookmarkEnd w:id="5"/>
    </w:p>
    <w:p w14:paraId="157D4821" w14:textId="77777777" w:rsidR="00450772" w:rsidRPr="00932732" w:rsidRDefault="00450772" w:rsidP="0029579F">
      <w:pPr>
        <w:jc w:val="both"/>
        <w:rPr>
          <w:rFonts w:ascii="Cambria" w:hAnsi="Cambria" w:cs="Baskerville"/>
          <w:lang w:val="en-CA" w:eastAsia="ja-JP"/>
        </w:rPr>
      </w:pPr>
    </w:p>
    <w:p w14:paraId="3CF9A17A" w14:textId="62335AC2" w:rsidR="00126A7F" w:rsidRPr="00932732" w:rsidRDefault="00450772" w:rsidP="00126A7F">
      <w:pPr>
        <w:jc w:val="both"/>
        <w:rPr>
          <w:rFonts w:ascii="Cambria" w:hAnsi="Cambria" w:cs="Baskerville"/>
          <w:lang w:val="en-CA" w:eastAsia="ja-JP"/>
        </w:rPr>
      </w:pPr>
      <w:r w:rsidRPr="00932732">
        <w:rPr>
          <w:rFonts w:ascii="Cambria" w:hAnsi="Cambria" w:cs="Baskerville"/>
          <w:lang w:val="en-CA" w:eastAsia="ja-JP"/>
        </w:rPr>
        <w:t xml:space="preserve">For the purpose of this book, I have updated the estimate of the world’s offshore wealth derived in </w:t>
      </w:r>
      <w:hyperlink r:id="rId14" w:history="1">
        <w:r w:rsidRPr="00932732">
          <w:rPr>
            <w:rStyle w:val="Hyperlink"/>
            <w:rFonts w:ascii="Cambria" w:hAnsi="Cambria" w:cs="Baskerville"/>
            <w:lang w:val="en-CA" w:eastAsia="ja-JP"/>
          </w:rPr>
          <w:t>Zucman (QJE 2013)</w:t>
        </w:r>
      </w:hyperlink>
      <w:r w:rsidRPr="00932732">
        <w:rPr>
          <w:rFonts w:ascii="Cambria" w:hAnsi="Cambria" w:cs="Baskerville"/>
          <w:lang w:val="en-CA" w:eastAsia="ja-JP"/>
        </w:rPr>
        <w:t xml:space="preserve"> and produced in the </w:t>
      </w:r>
      <w:hyperlink r:id="rId15" w:history="1">
        <w:r w:rsidRPr="00932732">
          <w:rPr>
            <w:rStyle w:val="Hyperlink"/>
            <w:rFonts w:ascii="Cambria" w:hAnsi="Cambria" w:cs="Baskerville"/>
            <w:lang w:val="en-CA" w:eastAsia="ja-JP"/>
          </w:rPr>
          <w:t>Online Appendix</w:t>
        </w:r>
      </w:hyperlink>
      <w:r w:rsidRPr="00932732">
        <w:rPr>
          <w:rFonts w:ascii="Cambria" w:hAnsi="Cambria" w:cs="Baskerville"/>
          <w:lang w:val="en-CA" w:eastAsia="ja-JP"/>
        </w:rPr>
        <w:t xml:space="preserve"> of this</w:t>
      </w:r>
      <w:r w:rsidR="00493B51" w:rsidRPr="00932732">
        <w:rPr>
          <w:rFonts w:ascii="Cambria" w:hAnsi="Cambria" w:cs="Baskerville"/>
          <w:lang w:val="en-CA" w:eastAsia="ja-JP"/>
        </w:rPr>
        <w:t xml:space="preserve"> research</w:t>
      </w:r>
      <w:r w:rsidRPr="00932732">
        <w:rPr>
          <w:rFonts w:ascii="Cambria" w:hAnsi="Cambria" w:cs="Baskerville"/>
          <w:lang w:val="en-CA" w:eastAsia="ja-JP"/>
        </w:rPr>
        <w:t xml:space="preserve"> article. The data ended in December 31st, 2008. The update now has data through to December 31st 201</w:t>
      </w:r>
      <w:r w:rsidR="002F6783" w:rsidRPr="00932732">
        <w:rPr>
          <w:rFonts w:ascii="Cambria" w:hAnsi="Cambria" w:cs="Baskerville"/>
          <w:lang w:val="en-CA" w:eastAsia="ja-JP"/>
        </w:rPr>
        <w:t>3</w:t>
      </w:r>
      <w:r w:rsidRPr="00932732">
        <w:rPr>
          <w:rFonts w:ascii="Cambria" w:hAnsi="Cambria" w:cs="Baskerville"/>
          <w:lang w:val="en-CA" w:eastAsia="ja-JP"/>
        </w:rPr>
        <w:t xml:space="preserve">. It can be found in the file </w:t>
      </w:r>
      <w:hyperlink r:id="rId16" w:history="1">
        <w:r w:rsidRPr="00932732">
          <w:rPr>
            <w:rStyle w:val="Hyperlink"/>
            <w:rFonts w:ascii="Cambria" w:hAnsi="Cambria" w:cs="Baskerville"/>
            <w:lang w:val="en-CA" w:eastAsia="ja-JP"/>
          </w:rPr>
          <w:t>MissingWealth.xlsx</w:t>
        </w:r>
      </w:hyperlink>
      <w:r w:rsidRPr="00932732">
        <w:rPr>
          <w:rFonts w:ascii="Cambria" w:hAnsi="Cambria" w:cs="Baskerville"/>
          <w:lang w:val="en-CA" w:eastAsia="ja-JP"/>
        </w:rPr>
        <w:t xml:space="preserve">. </w:t>
      </w:r>
      <w:r w:rsidR="00B02C82" w:rsidRPr="00932732">
        <w:rPr>
          <w:rFonts w:ascii="Cambria" w:hAnsi="Cambria" w:cs="Baskerville"/>
          <w:lang w:val="en-CA" w:eastAsia="ja-JP"/>
        </w:rPr>
        <w:t>All the computations are precis</w:t>
      </w:r>
      <w:r w:rsidR="002E4D4E" w:rsidRPr="00932732">
        <w:rPr>
          <w:rFonts w:ascii="Cambria" w:hAnsi="Cambria" w:cs="Baskerville"/>
          <w:lang w:val="en-CA" w:eastAsia="ja-JP"/>
        </w:rPr>
        <w:t>ely described in this file. Here are some additional details.</w:t>
      </w:r>
    </w:p>
    <w:p w14:paraId="43F9771C" w14:textId="77777777" w:rsidR="0062236E" w:rsidRPr="00932732" w:rsidRDefault="0062236E" w:rsidP="0029579F">
      <w:pPr>
        <w:jc w:val="both"/>
        <w:rPr>
          <w:rFonts w:ascii="Cambria" w:hAnsi="Cambria" w:cs="Baskerville"/>
          <w:lang w:val="en-CA" w:eastAsia="ja-JP"/>
        </w:rPr>
      </w:pPr>
    </w:p>
    <w:p w14:paraId="1027AE5B" w14:textId="62342604" w:rsidR="0029579F" w:rsidRPr="00932732" w:rsidRDefault="0029579F" w:rsidP="005C533E">
      <w:pPr>
        <w:pStyle w:val="Heading2"/>
        <w:rPr>
          <w:rFonts w:ascii="Cambria" w:hAnsi="Cambria"/>
          <w:lang w:val="en-CA" w:eastAsia="ja-JP"/>
        </w:rPr>
      </w:pPr>
      <w:bookmarkStart w:id="6" w:name="_Toc430261420"/>
      <w:r w:rsidRPr="00932732">
        <w:rPr>
          <w:rFonts w:ascii="Cambria" w:hAnsi="Cambria"/>
          <w:lang w:val="en-CA" w:eastAsia="ja-JP"/>
        </w:rPr>
        <w:t>World</w:t>
      </w:r>
      <w:r w:rsidR="00A1099D" w:rsidRPr="00932732">
        <w:rPr>
          <w:rFonts w:ascii="Cambria" w:hAnsi="Cambria"/>
          <w:lang w:val="en-CA" w:eastAsia="ja-JP"/>
        </w:rPr>
        <w:t xml:space="preserve"> income and</w:t>
      </w:r>
      <w:r w:rsidRPr="00932732">
        <w:rPr>
          <w:rFonts w:ascii="Cambria" w:hAnsi="Cambria"/>
          <w:lang w:val="en-CA" w:eastAsia="ja-JP"/>
        </w:rPr>
        <w:t xml:space="preserve"> financial wealth in 2013</w:t>
      </w:r>
      <w:bookmarkEnd w:id="6"/>
      <w:r w:rsidR="00B02C82" w:rsidRPr="00932732">
        <w:rPr>
          <w:rFonts w:ascii="Cambria" w:hAnsi="Cambria"/>
          <w:lang w:val="en-CA" w:eastAsia="ja-JP"/>
        </w:rPr>
        <w:t xml:space="preserve"> </w:t>
      </w:r>
    </w:p>
    <w:p w14:paraId="598882AC" w14:textId="77777777" w:rsidR="00572434" w:rsidRPr="00932732" w:rsidRDefault="00572434" w:rsidP="0029579F">
      <w:pPr>
        <w:jc w:val="both"/>
        <w:rPr>
          <w:rFonts w:ascii="Cambria" w:hAnsi="Cambria" w:cs="Baskerville"/>
          <w:lang w:val="en-CA" w:eastAsia="ja-JP"/>
        </w:rPr>
      </w:pPr>
    </w:p>
    <w:p w14:paraId="22F646C6" w14:textId="0C03C7B7" w:rsidR="00A1099D" w:rsidRPr="00932732" w:rsidRDefault="00A1099D" w:rsidP="0029579F">
      <w:pPr>
        <w:jc w:val="both"/>
        <w:rPr>
          <w:rFonts w:ascii="Cambria" w:hAnsi="Cambria" w:cs="Baskerville"/>
          <w:lang w:val="en-CA" w:eastAsia="ja-JP"/>
        </w:rPr>
      </w:pPr>
      <w:r w:rsidRPr="00932732">
        <w:rPr>
          <w:rFonts w:ascii="Cambria" w:hAnsi="Cambria" w:cs="Baskerville"/>
          <w:lang w:val="en-CA" w:eastAsia="ja-JP"/>
        </w:rPr>
        <w:t xml:space="preserve">The computations of the world income and financial wealth figures reported in the book’s Table 3 is done in the online Excel file containing the </w:t>
      </w:r>
      <w:hyperlink r:id="rId17" w:history="1">
        <w:r w:rsidRPr="00932732">
          <w:rPr>
            <w:rStyle w:val="Hyperlink"/>
            <w:rFonts w:ascii="Cambria" w:hAnsi="Cambria" w:cs="Baskerville"/>
            <w:lang w:val="en-CA" w:eastAsia="ja-JP"/>
          </w:rPr>
          <w:t>Tables and Figures included in the book</w:t>
        </w:r>
      </w:hyperlink>
      <w:r w:rsidRPr="00932732">
        <w:rPr>
          <w:rFonts w:ascii="Cambria" w:hAnsi="Cambria" w:cs="Baskerville"/>
          <w:lang w:val="en-CA" w:eastAsia="ja-JP"/>
        </w:rPr>
        <w:t xml:space="preserve">. </w:t>
      </w:r>
    </w:p>
    <w:p w14:paraId="05A349D6" w14:textId="081175F9" w:rsidR="00A1099D" w:rsidRPr="00932732" w:rsidRDefault="00A1099D" w:rsidP="0029579F">
      <w:pPr>
        <w:jc w:val="both"/>
        <w:rPr>
          <w:rFonts w:ascii="Cambria" w:hAnsi="Cambria" w:cs="Baskerville"/>
          <w:lang w:val="en-CA" w:eastAsia="ja-JP"/>
        </w:rPr>
      </w:pPr>
    </w:p>
    <w:p w14:paraId="04E74AC5" w14:textId="3FBAE0C4" w:rsidR="00A1099D" w:rsidRPr="00932732" w:rsidRDefault="00A1099D" w:rsidP="0029579F">
      <w:pPr>
        <w:jc w:val="both"/>
        <w:rPr>
          <w:rFonts w:ascii="Cambria" w:hAnsi="Cambria" w:cs="Baskerville"/>
          <w:lang w:val="en-CA" w:eastAsia="ja-JP"/>
        </w:rPr>
      </w:pPr>
      <w:r w:rsidRPr="00932732">
        <w:rPr>
          <w:rFonts w:ascii="Cambria" w:hAnsi="Cambria" w:cs="Baskerville"/>
          <w:lang w:val="en-CA" w:eastAsia="ja-JP"/>
        </w:rPr>
        <w:t xml:space="preserve">More precisely, world income is computed as follows. </w:t>
      </w:r>
      <w:r w:rsidRPr="00932732">
        <w:rPr>
          <w:rFonts w:ascii="Cambria" w:hAnsi="Cambria" w:cs="Baskerville"/>
          <w:lang w:val="en-CA" w:eastAsia="ja-JP"/>
        </w:rPr>
        <w:t>World GDP in 2013 (World Bank) is about $80tr; with 15% depreciation world income = $68tr</w:t>
      </w:r>
      <w:r w:rsidR="00B02912" w:rsidRPr="00932732">
        <w:rPr>
          <w:rFonts w:ascii="Cambria" w:hAnsi="Cambria" w:cs="Baskerville"/>
          <w:lang w:val="en-CA" w:eastAsia="ja-JP"/>
        </w:rPr>
        <w:t>.</w:t>
      </w:r>
    </w:p>
    <w:p w14:paraId="263DBEE4" w14:textId="50EEA183" w:rsidR="0029579F" w:rsidRPr="00932732" w:rsidRDefault="00A1099D" w:rsidP="0029579F">
      <w:pPr>
        <w:jc w:val="both"/>
        <w:rPr>
          <w:rFonts w:ascii="Cambria" w:hAnsi="Cambria" w:cs="Baskerville"/>
          <w:lang w:val="en-CA" w:eastAsia="ja-JP"/>
        </w:rPr>
      </w:pPr>
      <w:r w:rsidRPr="00932732">
        <w:rPr>
          <w:rFonts w:ascii="Cambria" w:hAnsi="Cambria" w:cs="Baskerville"/>
          <w:lang w:val="en-CA" w:eastAsia="ja-JP"/>
        </w:rPr>
        <w:t>World financial wealth is computed as follows. First, the w</w:t>
      </w:r>
      <w:r w:rsidR="0029579F" w:rsidRPr="00932732">
        <w:rPr>
          <w:rFonts w:ascii="Cambria" w:hAnsi="Cambria" w:cs="Baskerville"/>
          <w:lang w:val="en-CA" w:eastAsia="ja-JP"/>
        </w:rPr>
        <w:t>orld pr</w:t>
      </w:r>
      <w:r w:rsidR="00B67614" w:rsidRPr="00932732">
        <w:rPr>
          <w:rFonts w:ascii="Cambria" w:hAnsi="Cambria" w:cs="Baskerville"/>
          <w:lang w:val="en-CA" w:eastAsia="ja-JP"/>
        </w:rPr>
        <w:t>ivate wealth income-ratio 2013 is about</w:t>
      </w:r>
      <w:r w:rsidR="0029579F" w:rsidRPr="00932732">
        <w:rPr>
          <w:rFonts w:ascii="Cambria" w:hAnsi="Cambria" w:cs="Baskerville"/>
          <w:lang w:val="en-CA" w:eastAsia="ja-JP"/>
        </w:rPr>
        <w:t xml:space="preserve"> 440 %</w:t>
      </w:r>
      <w:r w:rsidR="00B67614" w:rsidRPr="00932732">
        <w:rPr>
          <w:rFonts w:ascii="Cambria" w:hAnsi="Cambria" w:cs="Baskerville"/>
          <w:lang w:val="en-CA" w:eastAsia="ja-JP"/>
        </w:rPr>
        <w:t>, from</w:t>
      </w:r>
      <w:r w:rsidR="0029579F" w:rsidRPr="00932732">
        <w:rPr>
          <w:rFonts w:ascii="Cambria" w:hAnsi="Cambria" w:cs="Baskerville"/>
          <w:lang w:val="en-CA" w:eastAsia="ja-JP"/>
        </w:rPr>
        <w:t xml:space="preserve"> </w:t>
      </w:r>
      <w:hyperlink r:id="rId18" w:history="1">
        <w:r w:rsidR="0029579F" w:rsidRPr="00932732">
          <w:rPr>
            <w:rStyle w:val="Hyperlink"/>
            <w:rFonts w:ascii="Cambria" w:hAnsi="Cambria" w:cs="Baskerville"/>
            <w:lang w:val="en-CA" w:eastAsia="ja-JP"/>
          </w:rPr>
          <w:t>Piketty-Zucman (201</w:t>
        </w:r>
        <w:r w:rsidR="00DE149E" w:rsidRPr="00932732">
          <w:rPr>
            <w:rStyle w:val="Hyperlink"/>
            <w:rFonts w:ascii="Cambria" w:hAnsi="Cambria" w:cs="Baskerville"/>
            <w:lang w:val="en-CA" w:eastAsia="ja-JP"/>
          </w:rPr>
          <w:t>4</w:t>
        </w:r>
        <w:r w:rsidR="0029579F" w:rsidRPr="00932732">
          <w:rPr>
            <w:rStyle w:val="Hyperlink"/>
            <w:rFonts w:ascii="Cambria" w:hAnsi="Cambria" w:cs="Baskerville"/>
            <w:lang w:val="en-CA" w:eastAsia="ja-JP"/>
          </w:rPr>
          <w:t xml:space="preserve"> Table A8, figure for 2010-19 decade)</w:t>
        </w:r>
        <w:r w:rsidR="00B67614" w:rsidRPr="00932732">
          <w:rPr>
            <w:rStyle w:val="Hyperlink"/>
            <w:rFonts w:ascii="Cambria" w:hAnsi="Cambria" w:cs="Baskerville"/>
            <w:lang w:val="en-CA" w:eastAsia="ja-JP"/>
          </w:rPr>
          <w:t>.</w:t>
        </w:r>
      </w:hyperlink>
      <w:r w:rsidR="00A226C0" w:rsidRPr="00932732">
        <w:rPr>
          <w:rFonts w:ascii="Cambria" w:hAnsi="Cambria" w:cs="Baskerville"/>
          <w:lang w:val="en-CA" w:eastAsia="ja-JP"/>
        </w:rPr>
        <w:t xml:space="preserve"> </w:t>
      </w:r>
      <w:r w:rsidR="0029579F" w:rsidRPr="00932732">
        <w:rPr>
          <w:rFonts w:ascii="Cambria" w:hAnsi="Cambria" w:cs="Baskerville"/>
          <w:lang w:val="en-CA" w:eastAsia="ja-JP"/>
        </w:rPr>
        <w:t xml:space="preserve">I assume that net financial wealth is 30% of the total </w:t>
      </w:r>
      <w:r w:rsidR="00A226C0" w:rsidRPr="00932732">
        <w:rPr>
          <w:rFonts w:ascii="Cambria" w:hAnsi="Cambria" w:cs="Baskerville"/>
          <w:lang w:val="en-CA" w:eastAsia="ja-JP"/>
        </w:rPr>
        <w:t xml:space="preserve">amount of wealth </w:t>
      </w:r>
      <w:r w:rsidR="0029579F" w:rsidRPr="00932732">
        <w:rPr>
          <w:rFonts w:ascii="Cambria" w:hAnsi="Cambria" w:cs="Baskerville"/>
          <w:lang w:val="en-CA" w:eastAsia="ja-JP"/>
        </w:rPr>
        <w:t>at the global level, in line with Piketty-Zucman 201</w:t>
      </w:r>
      <w:r w:rsidR="001355A5" w:rsidRPr="00932732">
        <w:rPr>
          <w:rFonts w:ascii="Cambria" w:hAnsi="Cambria" w:cs="Baskerville"/>
          <w:lang w:val="en-CA" w:eastAsia="ja-JP"/>
        </w:rPr>
        <w:t>4</w:t>
      </w:r>
      <w:r w:rsidR="00424D97" w:rsidRPr="00932732">
        <w:rPr>
          <w:rFonts w:ascii="Cambria" w:hAnsi="Cambria" w:cs="Baskerville"/>
          <w:lang w:val="en-CA" w:eastAsia="ja-JP"/>
        </w:rPr>
        <w:t>. F</w:t>
      </w:r>
      <w:r w:rsidR="0029579F" w:rsidRPr="00932732">
        <w:rPr>
          <w:rFonts w:ascii="Cambria" w:hAnsi="Cambria" w:cs="Baskerville"/>
          <w:lang w:val="en-CA" w:eastAsia="ja-JP"/>
        </w:rPr>
        <w:t>or instance</w:t>
      </w:r>
      <w:r w:rsidR="00636F04" w:rsidRPr="00932732">
        <w:rPr>
          <w:rFonts w:ascii="Cambria" w:hAnsi="Cambria" w:cs="Baskerville"/>
          <w:lang w:val="en-CA" w:eastAsia="ja-JP"/>
        </w:rPr>
        <w:t>, in</w:t>
      </w:r>
      <w:r w:rsidR="0029579F" w:rsidRPr="00932732">
        <w:rPr>
          <w:rFonts w:ascii="Cambria" w:hAnsi="Cambria" w:cs="Baskerville"/>
          <w:lang w:val="en-CA" w:eastAsia="ja-JP"/>
        </w:rPr>
        <w:t xml:space="preserve"> France</w:t>
      </w:r>
      <w:r w:rsidR="003E5CF3" w:rsidRPr="00932732">
        <w:rPr>
          <w:rFonts w:ascii="Cambria" w:hAnsi="Cambria" w:cs="Baskerville"/>
          <w:lang w:val="en-CA" w:eastAsia="ja-JP"/>
        </w:rPr>
        <w:t xml:space="preserve"> at the</w:t>
      </w:r>
      <w:r w:rsidR="0029579F" w:rsidRPr="00932732">
        <w:rPr>
          <w:rFonts w:ascii="Cambria" w:hAnsi="Cambria" w:cs="Baskerville"/>
          <w:lang w:val="en-CA" w:eastAsia="ja-JP"/>
        </w:rPr>
        <w:t xml:space="preserve"> end of 2010: private wealth = €10.1tr, financial assets = 3.9tr, liabilities = 1.2tr; non-financial assets=7.4tr; so net financial wealth = 2.7tr= 27%; this is o</w:t>
      </w:r>
      <w:r w:rsidR="00C10763" w:rsidRPr="00932732">
        <w:rPr>
          <w:rFonts w:ascii="Cambria" w:hAnsi="Cambria" w:cs="Baskerville"/>
          <w:lang w:val="en-CA" w:eastAsia="ja-JP"/>
        </w:rPr>
        <w:t>n the low end of rich countries</w:t>
      </w:r>
      <w:r w:rsidR="0029579F" w:rsidRPr="00932732">
        <w:rPr>
          <w:rFonts w:ascii="Cambria" w:hAnsi="Cambria" w:cs="Baskerville"/>
          <w:lang w:val="en-CA" w:eastAsia="ja-JP"/>
        </w:rPr>
        <w:t>.</w:t>
      </w:r>
      <w:r w:rsidR="00C10763" w:rsidRPr="00932732">
        <w:rPr>
          <w:rFonts w:ascii="Cambria" w:hAnsi="Cambria" w:cs="Baskerville"/>
          <w:lang w:val="en-CA" w:eastAsia="ja-JP"/>
        </w:rPr>
        <w:t xml:space="preserve"> Note that financial wealth is always to be understood as net financial wealth (i.e., gross financial assets minus debts). </w:t>
      </w:r>
      <w:r w:rsidR="006A4B50" w:rsidRPr="00932732">
        <w:rPr>
          <w:rFonts w:ascii="Cambria" w:hAnsi="Cambria" w:cs="Baskerville"/>
          <w:lang w:val="en-CA" w:eastAsia="ja-JP"/>
        </w:rPr>
        <w:t xml:space="preserve">So </w:t>
      </w:r>
      <w:r w:rsidR="0029579F" w:rsidRPr="00932732">
        <w:rPr>
          <w:rFonts w:ascii="Cambria" w:hAnsi="Cambria" w:cs="Baskerville"/>
          <w:lang w:val="en-CA" w:eastAsia="ja-JP"/>
        </w:rPr>
        <w:t>world financial wealth = $68 x 0.30 x 4.4 = $90tr. In Piketty-Zucman (201</w:t>
      </w:r>
      <w:r w:rsidR="00DE149E" w:rsidRPr="00932732">
        <w:rPr>
          <w:rFonts w:ascii="Cambria" w:hAnsi="Cambria" w:cs="Baskerville"/>
          <w:lang w:val="en-CA" w:eastAsia="ja-JP"/>
        </w:rPr>
        <w:t>4</w:t>
      </w:r>
      <w:r w:rsidR="0029579F" w:rsidRPr="00932732">
        <w:rPr>
          <w:rFonts w:ascii="Cambria" w:hAnsi="Cambria" w:cs="Baskerville"/>
          <w:lang w:val="en-CA" w:eastAsia="ja-JP"/>
        </w:rPr>
        <w:t>) we completely disregarded tax havens, so by constructions this ignores the portfolio wealth that goes unrecorded in tax havens, which I estimate to be equal to 6% of the total (recorded) financial wealth (</w:t>
      </w:r>
      <w:hyperlink r:id="rId19" w:history="1">
        <w:r w:rsidR="0029579F" w:rsidRPr="00932732">
          <w:rPr>
            <w:rStyle w:val="Hyperlink"/>
            <w:rFonts w:ascii="Cambria" w:hAnsi="Cambria" w:cs="Baskerville"/>
            <w:lang w:val="en-CA" w:eastAsia="ja-JP"/>
          </w:rPr>
          <w:t>Zucman, 2013</w:t>
        </w:r>
      </w:hyperlink>
      <w:r w:rsidR="0029579F" w:rsidRPr="00932732">
        <w:rPr>
          <w:rFonts w:ascii="Cambria" w:hAnsi="Cambria" w:cs="Baskerville"/>
          <w:lang w:val="en-CA" w:eastAsia="ja-JP"/>
        </w:rPr>
        <w:t xml:space="preserve">). So the total (recorded + unrecorded) world financial wealth is $90tr/(1-0.06) = $95tr </w:t>
      </w:r>
      <w:r w:rsidR="00FB2242" w:rsidRPr="00932732">
        <w:rPr>
          <w:rFonts w:ascii="Cambria" w:hAnsi="Cambria" w:cs="Baskerville"/>
          <w:lang w:val="en-CA" w:eastAsia="ja-JP"/>
        </w:rPr>
        <w:t>in 2013.</w:t>
      </w:r>
    </w:p>
    <w:p w14:paraId="29D1025A" w14:textId="77777777" w:rsidR="0029579F" w:rsidRPr="00932732" w:rsidRDefault="0029579F" w:rsidP="0029579F">
      <w:pPr>
        <w:jc w:val="both"/>
        <w:rPr>
          <w:rFonts w:ascii="Cambria" w:hAnsi="Cambria" w:cs="Baskerville"/>
          <w:lang w:val="en-CA" w:eastAsia="ja-JP"/>
        </w:rPr>
      </w:pPr>
    </w:p>
    <w:p w14:paraId="1E84CFBE" w14:textId="4546C21D" w:rsidR="0029579F" w:rsidRPr="00932732" w:rsidRDefault="00C334DA" w:rsidP="00033B08">
      <w:pPr>
        <w:pStyle w:val="Heading2"/>
        <w:rPr>
          <w:rFonts w:ascii="Cambria" w:hAnsi="Cambria"/>
          <w:lang w:val="en-CA" w:eastAsia="ja-JP"/>
        </w:rPr>
      </w:pPr>
      <w:bookmarkStart w:id="7" w:name="_Toc430261421"/>
      <w:r w:rsidRPr="00932732">
        <w:rPr>
          <w:rFonts w:ascii="Cambria" w:hAnsi="Cambria"/>
          <w:lang w:val="en-CA" w:eastAsia="ja-JP"/>
        </w:rPr>
        <w:t>BIS</w:t>
      </w:r>
      <w:r w:rsidR="0029579F" w:rsidRPr="00932732">
        <w:rPr>
          <w:rFonts w:ascii="Cambria" w:hAnsi="Cambria"/>
          <w:lang w:val="en-CA" w:eastAsia="ja-JP"/>
        </w:rPr>
        <w:t xml:space="preserve"> data</w:t>
      </w:r>
      <w:r w:rsidR="005C533E" w:rsidRPr="00932732">
        <w:rPr>
          <w:rFonts w:ascii="Cambria" w:hAnsi="Cambria"/>
          <w:lang w:val="en-CA" w:eastAsia="ja-JP"/>
        </w:rPr>
        <w:t xml:space="preserve"> on offshore bank deposits</w:t>
      </w:r>
      <w:bookmarkEnd w:id="7"/>
    </w:p>
    <w:p w14:paraId="0EBE8B39" w14:textId="77777777" w:rsidR="00572434" w:rsidRPr="00932732" w:rsidRDefault="00572434" w:rsidP="0029579F">
      <w:pPr>
        <w:jc w:val="both"/>
        <w:rPr>
          <w:rFonts w:ascii="Cambria" w:hAnsi="Cambria" w:cs="Baskerville"/>
          <w:lang w:val="en-CA" w:eastAsia="ja-JP"/>
        </w:rPr>
      </w:pPr>
    </w:p>
    <w:p w14:paraId="68227560"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Who owns BIS deposits? The Bank of France provides data on the sectorial composition of EU deposit-holders in French banks: “créances et engagements des institutions financères et monétaires. Dépôts du secteur privé des autres EMUM auprès des établissements de crédit français”, broken down as follows: “autres intermédiaires financiers”, “sociétés d’assurance et fonds de pension”, “sociétés non financières”, “ménages et institutions sans but lucratif au service des ménages”. Those data are published in the quarterly monetary statistics (“statistiques monétaires”). They show that most cross-border deposits in French banks belong to financial institutions like insurance companies and mutual funds, not households.</w:t>
      </w:r>
    </w:p>
    <w:p w14:paraId="2CEEB97B" w14:textId="77777777" w:rsidR="009E4BC9" w:rsidRPr="00932732" w:rsidRDefault="009E4BC9" w:rsidP="0029579F">
      <w:pPr>
        <w:jc w:val="both"/>
        <w:rPr>
          <w:rFonts w:ascii="Cambria" w:hAnsi="Cambria" w:cs="Baskerville"/>
          <w:lang w:val="en-CA" w:eastAsia="ja-JP"/>
        </w:rPr>
      </w:pPr>
    </w:p>
    <w:p w14:paraId="5D4E6971" w14:textId="3580269D" w:rsidR="009E4BC9" w:rsidRPr="00932732" w:rsidRDefault="00537547" w:rsidP="0029579F">
      <w:pPr>
        <w:jc w:val="both"/>
        <w:rPr>
          <w:rFonts w:ascii="Cambria" w:hAnsi="Cambria" w:cs="Baskerville"/>
          <w:lang w:val="en-CA" w:eastAsia="ja-JP"/>
        </w:rPr>
      </w:pPr>
      <w:r w:rsidRPr="00932732">
        <w:rPr>
          <w:rFonts w:ascii="Cambria" w:hAnsi="Cambria" w:cs="Baskerville"/>
          <w:lang w:val="en-CA" w:eastAsia="ja-JP"/>
        </w:rPr>
        <w:t>O</w:t>
      </w:r>
      <w:r w:rsidR="009E4BC9" w:rsidRPr="00932732">
        <w:rPr>
          <w:rFonts w:ascii="Cambria" w:hAnsi="Cambria" w:cs="Baskerville"/>
          <w:lang w:val="en-CA" w:eastAsia="ja-JP"/>
        </w:rPr>
        <w:t>ther</w:t>
      </w:r>
      <w:r w:rsidRPr="00932732">
        <w:rPr>
          <w:rFonts w:ascii="Cambria" w:hAnsi="Cambria" w:cs="Baskerville"/>
          <w:lang w:val="en-CA" w:eastAsia="ja-JP"/>
        </w:rPr>
        <w:t xml:space="preserve"> havens’</w:t>
      </w:r>
      <w:r w:rsidR="009E4BC9" w:rsidRPr="00932732">
        <w:rPr>
          <w:rFonts w:ascii="Cambria" w:hAnsi="Cambria" w:cs="Baskerville"/>
          <w:lang w:val="en-CA" w:eastAsia="ja-JP"/>
        </w:rPr>
        <w:t xml:space="preserve"> central banks providing sector</w:t>
      </w:r>
      <w:r w:rsidRPr="00932732">
        <w:rPr>
          <w:rFonts w:ascii="Cambria" w:hAnsi="Cambria" w:cs="Baskerville"/>
          <w:lang w:val="en-CA" w:eastAsia="ja-JP"/>
        </w:rPr>
        <w:t>i</w:t>
      </w:r>
      <w:r w:rsidR="009E4BC9" w:rsidRPr="00932732">
        <w:rPr>
          <w:rFonts w:ascii="Cambria" w:hAnsi="Cambria" w:cs="Baskerville"/>
          <w:lang w:val="en-CA" w:eastAsia="ja-JP"/>
        </w:rPr>
        <w:t>al</w:t>
      </w:r>
      <w:r w:rsidRPr="00932732">
        <w:rPr>
          <w:rFonts w:ascii="Cambria" w:hAnsi="Cambria" w:cs="Baskerville"/>
          <w:lang w:val="en-CA" w:eastAsia="ja-JP"/>
        </w:rPr>
        <w:t xml:space="preserve"> breakdown of offshore bank deposits owners include Luxembourg, Jersey, Guernsey, Isle of Man; see </w:t>
      </w:r>
      <w:hyperlink r:id="rId20" w:history="1">
        <w:r w:rsidRPr="00932732">
          <w:rPr>
            <w:rStyle w:val="Hyperlink"/>
            <w:rFonts w:ascii="Cambria" w:hAnsi="Cambria" w:cs="Baskerville"/>
            <w:lang w:val="en-CA" w:eastAsia="ja-JP"/>
          </w:rPr>
          <w:t>Johannesen and Zucman (2014)</w:t>
        </w:r>
      </w:hyperlink>
      <w:r w:rsidRPr="00932732">
        <w:rPr>
          <w:rFonts w:ascii="Cambria" w:hAnsi="Cambria" w:cs="Baskerville"/>
          <w:lang w:val="en-CA" w:eastAsia="ja-JP"/>
        </w:rPr>
        <w:t xml:space="preserve"> for an analysis of these data.</w:t>
      </w:r>
    </w:p>
    <w:p w14:paraId="0CFDDD6A" w14:textId="77777777" w:rsidR="0029579F" w:rsidRPr="00932732" w:rsidRDefault="0029579F" w:rsidP="0029579F">
      <w:pPr>
        <w:jc w:val="both"/>
        <w:rPr>
          <w:rFonts w:ascii="Cambria" w:hAnsi="Cambria" w:cs="Baskerville"/>
          <w:lang w:val="en-CA" w:eastAsia="ja-JP"/>
        </w:rPr>
      </w:pPr>
    </w:p>
    <w:p w14:paraId="3300944F" w14:textId="79ADA17E" w:rsidR="0029579F" w:rsidRPr="00932732" w:rsidRDefault="008923E1" w:rsidP="00033B08">
      <w:pPr>
        <w:pStyle w:val="Heading2"/>
        <w:rPr>
          <w:rFonts w:ascii="Cambria" w:hAnsi="Cambria"/>
          <w:lang w:val="en-CA" w:eastAsia="ja-JP"/>
        </w:rPr>
      </w:pPr>
      <w:bookmarkStart w:id="8" w:name="_Toc430261422"/>
      <w:r w:rsidRPr="00932732">
        <w:rPr>
          <w:rFonts w:ascii="Cambria" w:hAnsi="Cambria"/>
          <w:lang w:val="en-CA" w:eastAsia="ja-JP"/>
        </w:rPr>
        <w:t>C</w:t>
      </w:r>
      <w:r w:rsidR="0029579F" w:rsidRPr="00932732">
        <w:rPr>
          <w:rFonts w:ascii="Cambria" w:hAnsi="Cambria"/>
          <w:lang w:val="en-CA" w:eastAsia="ja-JP"/>
        </w:rPr>
        <w:t>urrency in circulation</w:t>
      </w:r>
      <w:r w:rsidR="00572434" w:rsidRPr="00932732">
        <w:rPr>
          <w:rFonts w:ascii="Cambria" w:hAnsi="Cambria"/>
          <w:lang w:val="en-CA" w:eastAsia="ja-JP"/>
        </w:rPr>
        <w:t xml:space="preserve"> </w:t>
      </w:r>
      <w:r w:rsidR="005729DF" w:rsidRPr="00932732">
        <w:rPr>
          <w:rFonts w:ascii="Cambria" w:hAnsi="Cambria"/>
          <w:lang w:val="en-CA" w:eastAsia="ja-JP"/>
        </w:rPr>
        <w:t>globally</w:t>
      </w:r>
      <w:bookmarkEnd w:id="8"/>
    </w:p>
    <w:p w14:paraId="38466DF3" w14:textId="77777777" w:rsidR="0029579F" w:rsidRPr="00932732" w:rsidRDefault="0029579F" w:rsidP="0029579F">
      <w:pPr>
        <w:jc w:val="both"/>
        <w:rPr>
          <w:rFonts w:ascii="Cambria" w:hAnsi="Cambria" w:cs="Baskerville"/>
          <w:lang w:val="en-CA" w:eastAsia="ja-JP"/>
        </w:rPr>
      </w:pPr>
    </w:p>
    <w:p w14:paraId="00F4C631" w14:textId="7188AC55"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Data on the amount of currency in circulation by denomination (i.e., $100 bills, $50 bills, etc.) are available </w:t>
      </w:r>
      <w:r w:rsidR="00B02C82" w:rsidRPr="00932732">
        <w:rPr>
          <w:rFonts w:ascii="Cambria" w:hAnsi="Cambria" w:cs="Baskerville"/>
          <w:lang w:val="en-CA" w:eastAsia="ja-JP"/>
        </w:rPr>
        <w:t>on the respective central bank website.</w:t>
      </w:r>
    </w:p>
    <w:p w14:paraId="49640125" w14:textId="26BD1A6A"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U.S. dollars cur</w:t>
      </w:r>
      <w:r w:rsidR="00B02C82" w:rsidRPr="00932732">
        <w:rPr>
          <w:rFonts w:ascii="Cambria" w:hAnsi="Cambria" w:cs="Baskerville"/>
          <w:lang w:val="en-CA" w:eastAsia="ja-JP"/>
        </w:rPr>
        <w:t>rency &amp; coin yearly data: Fed.</w:t>
      </w:r>
    </w:p>
    <w:p w14:paraId="1C8CBCE4" w14:textId="23981212"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ECB: euro banknotes and coin circulation, monthly data. As of July 2013, €100 bills = 176bn; €200 bills = 38bn; €500 bills = 290bn</w:t>
      </w:r>
      <w:r w:rsidR="00537547" w:rsidRPr="00932732">
        <w:rPr>
          <w:rFonts w:ascii="Cambria" w:hAnsi="Cambria" w:cs="Baskerville"/>
          <w:lang w:val="en-CA" w:eastAsia="ja-JP"/>
        </w:rPr>
        <w:t>.</w:t>
      </w:r>
    </w:p>
    <w:p w14:paraId="5E372A9A" w14:textId="1BFA0E70"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SNB: banknote circulation. On average in 2012, 1,000 CHF bills = 33bn CHF</w:t>
      </w:r>
      <w:r w:rsidR="00537547" w:rsidRPr="00932732">
        <w:rPr>
          <w:rFonts w:ascii="Cambria" w:hAnsi="Cambria" w:cs="Baskerville"/>
          <w:lang w:val="en-CA" w:eastAsia="ja-JP"/>
        </w:rPr>
        <w:t xml:space="preserve"> (negligible)</w:t>
      </w:r>
      <w:r w:rsidRPr="00932732">
        <w:rPr>
          <w:rFonts w:ascii="Cambria" w:hAnsi="Cambria" w:cs="Baskerville"/>
          <w:lang w:val="en-CA" w:eastAsia="ja-JP"/>
        </w:rPr>
        <w:t>.</w:t>
      </w:r>
    </w:p>
    <w:p w14:paraId="056A437F" w14:textId="77777777" w:rsidR="0029579F" w:rsidRPr="00932732" w:rsidRDefault="0029579F" w:rsidP="0029579F">
      <w:pPr>
        <w:jc w:val="both"/>
        <w:rPr>
          <w:rFonts w:ascii="Cambria" w:hAnsi="Cambria" w:cs="Baskerville"/>
          <w:lang w:val="en-CA" w:eastAsia="ja-JP"/>
        </w:rPr>
      </w:pPr>
    </w:p>
    <w:p w14:paraId="70BD8065" w14:textId="475B6065" w:rsidR="00572434" w:rsidRPr="00932732" w:rsidRDefault="00572434" w:rsidP="00033B08">
      <w:pPr>
        <w:pStyle w:val="Heading2"/>
        <w:rPr>
          <w:rFonts w:ascii="Cambria" w:hAnsi="Cambria"/>
          <w:lang w:val="en-CA" w:eastAsia="ja-JP"/>
        </w:rPr>
      </w:pPr>
      <w:bookmarkStart w:id="9" w:name="_Toc430261423"/>
      <w:r w:rsidRPr="00932732">
        <w:rPr>
          <w:rFonts w:ascii="Cambria" w:hAnsi="Cambria"/>
          <w:lang w:val="en-CA" w:eastAsia="ja-JP"/>
        </w:rPr>
        <w:t>Fraction of offshore wealth which is not declared on tax returns</w:t>
      </w:r>
      <w:bookmarkEnd w:id="9"/>
    </w:p>
    <w:p w14:paraId="30F38FB7" w14:textId="77777777" w:rsidR="00572434" w:rsidRPr="00932732" w:rsidRDefault="00572434" w:rsidP="008748E7">
      <w:pPr>
        <w:jc w:val="both"/>
        <w:rPr>
          <w:rFonts w:ascii="Cambria" w:hAnsi="Cambria" w:cs="Baskerville"/>
          <w:lang w:val="en-CA" w:eastAsia="ja-JP"/>
        </w:rPr>
      </w:pPr>
    </w:p>
    <w:p w14:paraId="251972B8" w14:textId="6308A69E" w:rsidR="00572434" w:rsidRPr="00932732" w:rsidRDefault="00572434" w:rsidP="008748E7">
      <w:pPr>
        <w:jc w:val="both"/>
        <w:rPr>
          <w:rFonts w:ascii="Cambria" w:hAnsi="Cambria" w:cs="Baskerville"/>
          <w:lang w:val="en-CA" w:eastAsia="ja-JP"/>
        </w:rPr>
      </w:pPr>
      <w:r w:rsidRPr="00932732">
        <w:rPr>
          <w:rFonts w:ascii="Cambria" w:hAnsi="Cambria" w:cs="Baskerville"/>
          <w:lang w:val="en-CA" w:eastAsia="ja-JP"/>
        </w:rPr>
        <w:t xml:space="preserve">The assumption </w:t>
      </w:r>
      <w:r w:rsidR="00F648AF" w:rsidRPr="00932732">
        <w:rPr>
          <w:rFonts w:ascii="Cambria" w:hAnsi="Cambria" w:cs="Baskerville"/>
          <w:lang w:val="en-CA" w:eastAsia="ja-JP"/>
        </w:rPr>
        <w:t>retained</w:t>
      </w:r>
      <w:r w:rsidRPr="00932732">
        <w:rPr>
          <w:rFonts w:ascii="Cambria" w:hAnsi="Cambria" w:cs="Baskerville"/>
          <w:lang w:val="en-CA" w:eastAsia="ja-JP"/>
        </w:rPr>
        <w:t xml:space="preserve"> in the book is that 80% of the amount of offshore wealth goes undeclared on average at the global level. This assumption is based on the computations presented in </w:t>
      </w:r>
      <w:hyperlink r:id="rId21" w:history="1">
        <w:r w:rsidRPr="00932732">
          <w:rPr>
            <w:rStyle w:val="Hyperlink"/>
            <w:rFonts w:ascii="Cambria" w:hAnsi="Cambria" w:cs="Baskerville"/>
            <w:lang w:val="en-CA" w:eastAsia="ja-JP"/>
          </w:rPr>
          <w:t>Johannesen &amp; Zucman (2014)</w:t>
        </w:r>
      </w:hyperlink>
      <w:r w:rsidRPr="00932732">
        <w:rPr>
          <w:rFonts w:ascii="Cambria" w:hAnsi="Cambria" w:cs="Baskerville"/>
          <w:lang w:val="en-CA" w:eastAsia="ja-JP"/>
        </w:rPr>
        <w:t xml:space="preserve"> who use data produced by the Swiss</w:t>
      </w:r>
      <w:r w:rsidR="00E97115" w:rsidRPr="00932732">
        <w:rPr>
          <w:rFonts w:ascii="Cambria" w:hAnsi="Cambria" w:cs="Baskerville"/>
          <w:lang w:val="en-CA" w:eastAsia="ja-JP"/>
        </w:rPr>
        <w:t xml:space="preserve"> tax authority,</w:t>
      </w:r>
      <w:r w:rsidRPr="00932732">
        <w:rPr>
          <w:rFonts w:ascii="Cambria" w:hAnsi="Cambria" w:cs="Baskerville"/>
          <w:lang w:val="en-CA" w:eastAsia="ja-JP"/>
        </w:rPr>
        <w:t xml:space="preserve"> “Administration fédérale des contributions”</w:t>
      </w:r>
      <w:r w:rsidR="002609DD" w:rsidRPr="00932732">
        <w:rPr>
          <w:rFonts w:ascii="Cambria" w:hAnsi="Cambria" w:cs="Baskerville"/>
          <w:lang w:val="en-CA" w:eastAsia="ja-JP"/>
        </w:rPr>
        <w:t>.</w:t>
      </w:r>
    </w:p>
    <w:p w14:paraId="7CD26416" w14:textId="77777777" w:rsidR="00572434" w:rsidRPr="00932732" w:rsidRDefault="00572434" w:rsidP="008748E7">
      <w:pPr>
        <w:jc w:val="both"/>
        <w:rPr>
          <w:rFonts w:ascii="Cambria" w:hAnsi="Cambria" w:cs="Baskerville"/>
          <w:lang w:val="en-CA" w:eastAsia="ja-JP"/>
        </w:rPr>
      </w:pPr>
    </w:p>
    <w:p w14:paraId="4B179EE8" w14:textId="28C7E922" w:rsidR="00572434" w:rsidRPr="00932732" w:rsidRDefault="00572434" w:rsidP="008748E7">
      <w:pPr>
        <w:jc w:val="both"/>
        <w:rPr>
          <w:rFonts w:ascii="Cambria" w:hAnsi="Cambria" w:cs="Baskerville"/>
          <w:lang w:val="en-CA" w:eastAsia="ja-JP"/>
        </w:rPr>
      </w:pPr>
      <w:r w:rsidRPr="00932732">
        <w:rPr>
          <w:rFonts w:ascii="Cambria" w:hAnsi="Cambria" w:cs="Baskerville"/>
          <w:lang w:val="en-CA" w:eastAsia="ja-JP"/>
        </w:rPr>
        <w:t>The</w:t>
      </w:r>
      <w:r w:rsidR="009B0260" w:rsidRPr="00932732">
        <w:rPr>
          <w:rFonts w:ascii="Cambria" w:hAnsi="Cambria" w:cs="Baskerville"/>
          <w:lang w:val="en-CA" w:eastAsia="ja-JP"/>
        </w:rPr>
        <w:t xml:space="preserve"> Swiss</w:t>
      </w:r>
      <w:r w:rsidRPr="00932732">
        <w:rPr>
          <w:rFonts w:ascii="Cambria" w:hAnsi="Cambria" w:cs="Baskerville"/>
          <w:lang w:val="en-CA" w:eastAsia="ja-JP"/>
        </w:rPr>
        <w:t xml:space="preserve"> </w:t>
      </w:r>
      <w:r w:rsidR="00F935AB" w:rsidRPr="00932732">
        <w:rPr>
          <w:rFonts w:ascii="Cambria" w:hAnsi="Cambria" w:cs="Baskerville"/>
          <w:lang w:val="en-CA" w:eastAsia="ja-JP"/>
        </w:rPr>
        <w:t>“</w:t>
      </w:r>
      <w:r w:rsidRPr="00932732">
        <w:rPr>
          <w:rFonts w:ascii="Cambria" w:hAnsi="Cambria" w:cs="Baskerville"/>
          <w:lang w:val="en-CA" w:eastAsia="ja-JP"/>
        </w:rPr>
        <w:t>administration fédérale des contributions</w:t>
      </w:r>
      <w:r w:rsidR="00F935AB" w:rsidRPr="00932732">
        <w:rPr>
          <w:rFonts w:ascii="Cambria" w:hAnsi="Cambria" w:cs="Baskerville"/>
          <w:lang w:val="en-CA" w:eastAsia="ja-JP"/>
        </w:rPr>
        <w:t>”</w:t>
      </w:r>
      <w:r w:rsidR="007F670D" w:rsidRPr="00932732">
        <w:rPr>
          <w:rFonts w:ascii="Cambria" w:hAnsi="Cambria" w:cs="Baskerville"/>
          <w:lang w:val="en-CA" w:eastAsia="ja-JP"/>
        </w:rPr>
        <w:t xml:space="preserve"> (AFC)</w:t>
      </w:r>
      <w:r w:rsidRPr="00932732">
        <w:rPr>
          <w:rFonts w:ascii="Cambria" w:hAnsi="Cambria" w:cs="Baskerville"/>
          <w:lang w:val="en-CA" w:eastAsia="ja-JP"/>
        </w:rPr>
        <w:t xml:space="preserve"> provides direct information on tax compliance</w:t>
      </w:r>
      <w:r w:rsidR="002979BA" w:rsidRPr="00932732">
        <w:rPr>
          <w:rFonts w:ascii="Cambria" w:hAnsi="Cambria" w:cs="Baskerville"/>
          <w:lang w:val="en-CA" w:eastAsia="ja-JP"/>
        </w:rPr>
        <w:t xml:space="preserve"> on the part of offshore account holders</w:t>
      </w:r>
      <w:r w:rsidRPr="00932732">
        <w:rPr>
          <w:rFonts w:ascii="Cambria" w:hAnsi="Cambria" w:cs="Baskerville"/>
          <w:lang w:val="en-CA" w:eastAsia="ja-JP"/>
        </w:rPr>
        <w:t xml:space="preserve"> in Switzerland, probably the most important tax haven as far as personal wealth management is concerned.</w:t>
      </w:r>
    </w:p>
    <w:p w14:paraId="55111EC7" w14:textId="77777777" w:rsidR="00572434" w:rsidRPr="00932732" w:rsidRDefault="00572434" w:rsidP="008748E7">
      <w:pPr>
        <w:jc w:val="both"/>
        <w:rPr>
          <w:rFonts w:ascii="Cambria" w:hAnsi="Cambria" w:cs="Baskerville"/>
          <w:lang w:val="en-CA" w:eastAsia="ja-JP"/>
        </w:rPr>
      </w:pPr>
    </w:p>
    <w:p w14:paraId="2E28585E" w14:textId="42A77C31" w:rsidR="00F648AF" w:rsidRPr="00932732" w:rsidRDefault="00572434" w:rsidP="008748E7">
      <w:pPr>
        <w:jc w:val="both"/>
        <w:rPr>
          <w:rFonts w:ascii="Cambria" w:hAnsi="Cambria" w:cs="Baskerville"/>
          <w:lang w:val="en-CA" w:eastAsia="ja-JP"/>
        </w:rPr>
      </w:pPr>
      <w:r w:rsidRPr="00932732">
        <w:rPr>
          <w:rFonts w:ascii="Cambria" w:hAnsi="Cambria" w:cs="Baskerville"/>
          <w:lang w:val="en-CA" w:eastAsia="ja-JP"/>
        </w:rPr>
        <w:t xml:space="preserve">Since mid-2005, in the context of the EU Savings Directive, Swiss banks must withhold a tax on interest income paid to European households who own Swiss accounts. Savers can escape the withholding tax if they voluntarily declare their income to their home country tax authority. </w:t>
      </w:r>
      <w:r w:rsidR="00E97115" w:rsidRPr="00932732">
        <w:rPr>
          <w:rFonts w:ascii="Cambria" w:hAnsi="Cambria" w:cs="Baskerville"/>
          <w:lang w:val="en-CA" w:eastAsia="ja-JP"/>
        </w:rPr>
        <w:t xml:space="preserve">The </w:t>
      </w:r>
      <w:r w:rsidRPr="00932732">
        <w:rPr>
          <w:rFonts w:ascii="Cambria" w:hAnsi="Cambria" w:cs="Baskerville"/>
          <w:lang w:val="en-CA" w:eastAsia="ja-JP"/>
        </w:rPr>
        <w:t>Swiss</w:t>
      </w:r>
      <w:r w:rsidR="00E97115" w:rsidRPr="00932732">
        <w:rPr>
          <w:rFonts w:ascii="Cambria" w:hAnsi="Cambria" w:cs="Baskerville"/>
          <w:lang w:val="en-CA" w:eastAsia="ja-JP"/>
        </w:rPr>
        <w:t xml:space="preserve"> tax</w:t>
      </w:r>
      <w:r w:rsidRPr="00932732">
        <w:rPr>
          <w:rFonts w:ascii="Cambria" w:hAnsi="Cambria" w:cs="Baskerville"/>
          <w:lang w:val="en-CA" w:eastAsia="ja-JP"/>
        </w:rPr>
        <w:t xml:space="preserve"> </w:t>
      </w:r>
      <w:r w:rsidR="00E97115" w:rsidRPr="00932732">
        <w:rPr>
          <w:rFonts w:ascii="Cambria" w:hAnsi="Cambria" w:cs="Baskerville"/>
          <w:lang w:val="en-CA" w:eastAsia="ja-JP"/>
        </w:rPr>
        <w:t>authority has</w:t>
      </w:r>
      <w:r w:rsidRPr="00932732">
        <w:rPr>
          <w:rFonts w:ascii="Cambria" w:hAnsi="Cambria" w:cs="Baskerville"/>
          <w:lang w:val="en-CA" w:eastAsia="ja-JP"/>
        </w:rPr>
        <w:t xml:space="preserve"> published on a yearly basis the amount of interest earned by residents of each EU country, as well as what fraction of this income savers have chosen to voluntarily disclose. </w:t>
      </w:r>
      <w:r w:rsidR="002979BA" w:rsidRPr="00932732">
        <w:rPr>
          <w:rFonts w:ascii="Cambria" w:hAnsi="Cambria" w:cs="Baskerville"/>
          <w:lang w:val="en-CA" w:eastAsia="ja-JP"/>
        </w:rPr>
        <w:t xml:space="preserve">The data is available </w:t>
      </w:r>
      <w:hyperlink r:id="rId22" w:history="1">
        <w:r w:rsidR="002979BA" w:rsidRPr="00932732">
          <w:rPr>
            <w:rStyle w:val="Hyperlink"/>
            <w:rFonts w:ascii="Cambria" w:hAnsi="Cambria" w:cs="Baskerville"/>
            <w:lang w:val="en-CA" w:eastAsia="ja-JP"/>
          </w:rPr>
          <w:t>here</w:t>
        </w:r>
      </w:hyperlink>
      <w:r w:rsidR="002979BA" w:rsidRPr="00932732">
        <w:rPr>
          <w:rFonts w:ascii="Cambria" w:hAnsi="Cambria" w:cs="Baskerville"/>
          <w:lang w:val="en-CA" w:eastAsia="ja-JP"/>
        </w:rPr>
        <w:t>.</w:t>
      </w:r>
      <w:r w:rsidR="00F648AF" w:rsidRPr="00932732">
        <w:rPr>
          <w:rFonts w:ascii="Cambria" w:hAnsi="Cambria" w:cs="Baskerville"/>
          <w:lang w:val="en-CA" w:eastAsia="ja-JP"/>
        </w:rPr>
        <w:t xml:space="preserve"> The latest information shows that only 20%-25 of</w:t>
      </w:r>
      <w:r w:rsidR="0009514C" w:rsidRPr="00932732">
        <w:rPr>
          <w:rFonts w:ascii="Cambria" w:hAnsi="Cambria" w:cs="Baskerville"/>
          <w:lang w:val="en-CA" w:eastAsia="ja-JP"/>
        </w:rPr>
        <w:t xml:space="preserve"> the </w:t>
      </w:r>
      <w:r w:rsidR="0013188B" w:rsidRPr="00932732">
        <w:rPr>
          <w:rFonts w:ascii="Cambria" w:hAnsi="Cambria" w:cs="Baskerville"/>
          <w:lang w:val="en-CA" w:eastAsia="ja-JP"/>
        </w:rPr>
        <w:t>interest income covered by the EU Saving Directive</w:t>
      </w:r>
      <w:r w:rsidR="0009514C" w:rsidRPr="00932732">
        <w:rPr>
          <w:rFonts w:ascii="Cambria" w:hAnsi="Cambria" w:cs="Baskerville"/>
          <w:lang w:val="en-CA" w:eastAsia="ja-JP"/>
        </w:rPr>
        <w:t xml:space="preserve"> is voluntarily declared to EU authorities. </w:t>
      </w:r>
    </w:p>
    <w:p w14:paraId="0F3B7759" w14:textId="77777777" w:rsidR="008748E7" w:rsidRPr="00932732" w:rsidRDefault="008748E7" w:rsidP="008748E7">
      <w:pPr>
        <w:jc w:val="both"/>
        <w:rPr>
          <w:rFonts w:ascii="Cambria" w:hAnsi="Cambria" w:cs="Baskerville"/>
          <w:lang w:val="en-CA" w:eastAsia="ja-JP"/>
        </w:rPr>
      </w:pPr>
    </w:p>
    <w:p w14:paraId="3600083B" w14:textId="775E5883" w:rsidR="002979BA" w:rsidRPr="00932732" w:rsidRDefault="00F648AF" w:rsidP="008748E7">
      <w:pPr>
        <w:jc w:val="both"/>
        <w:rPr>
          <w:rFonts w:ascii="Cambria" w:hAnsi="Cambria" w:cs="Baskerville"/>
          <w:lang w:val="en-CA" w:eastAsia="ja-JP"/>
        </w:rPr>
      </w:pPr>
      <w:r w:rsidRPr="00932732">
        <w:rPr>
          <w:rFonts w:ascii="Cambria" w:hAnsi="Cambria" w:cs="Baskerville"/>
          <w:lang w:val="en-CA" w:eastAsia="ja-JP"/>
        </w:rPr>
        <w:t xml:space="preserve">It should be noted that the 20-25% figure is an upper bound for the true fraction of </w:t>
      </w:r>
      <w:r w:rsidR="0009514C" w:rsidRPr="00932732">
        <w:rPr>
          <w:rFonts w:ascii="Cambria" w:hAnsi="Cambria" w:cs="Baskerville"/>
          <w:lang w:val="en-CA" w:eastAsia="ja-JP"/>
        </w:rPr>
        <w:t>the offshore wealth in Switzerland that is declared</w:t>
      </w:r>
      <w:r w:rsidRPr="00932732">
        <w:rPr>
          <w:rFonts w:ascii="Cambria" w:hAnsi="Cambria" w:cs="Baskerville"/>
          <w:lang w:val="en-CA" w:eastAsia="ja-JP"/>
        </w:rPr>
        <w:t>, because the Saving Directive does not apply to the accounts held through shell companies, but only to those accounts directly held by private customers. About 60% of the offshore wealth in Switzerland is held through shell companies</w:t>
      </w:r>
      <w:r w:rsidR="008748E7" w:rsidRPr="00932732">
        <w:rPr>
          <w:rFonts w:ascii="Cambria" w:hAnsi="Cambria" w:cs="Baskerville"/>
          <w:lang w:val="en-CA" w:eastAsia="ja-JP"/>
        </w:rPr>
        <w:t xml:space="preserve"> incorporated in the BVIs etc.</w:t>
      </w:r>
      <w:r w:rsidRPr="00932732">
        <w:rPr>
          <w:rFonts w:ascii="Cambria" w:hAnsi="Cambria" w:cs="Baskerville"/>
          <w:lang w:val="en-CA" w:eastAsia="ja-JP"/>
        </w:rPr>
        <w:t>, and under all likelihood, the compliance rate for those accounts is</w:t>
      </w:r>
      <w:r w:rsidR="0009514C" w:rsidRPr="00932732">
        <w:rPr>
          <w:rFonts w:ascii="Cambria" w:hAnsi="Cambria" w:cs="Baskerville"/>
          <w:lang w:val="en-CA" w:eastAsia="ja-JP"/>
        </w:rPr>
        <w:t xml:space="preserve"> much</w:t>
      </w:r>
      <w:r w:rsidRPr="00932732">
        <w:rPr>
          <w:rFonts w:ascii="Cambria" w:hAnsi="Cambria" w:cs="Baskerville"/>
          <w:lang w:val="en-CA" w:eastAsia="ja-JP"/>
        </w:rPr>
        <w:t xml:space="preserve"> less tha</w:t>
      </w:r>
      <w:r w:rsidR="0013188B" w:rsidRPr="00932732">
        <w:rPr>
          <w:rFonts w:ascii="Cambria" w:hAnsi="Cambria" w:cs="Baskerville"/>
          <w:lang w:val="en-CA" w:eastAsia="ja-JP"/>
        </w:rPr>
        <w:t>n</w:t>
      </w:r>
      <w:r w:rsidRPr="00932732">
        <w:rPr>
          <w:rFonts w:ascii="Cambria" w:hAnsi="Cambria" w:cs="Baskerville"/>
          <w:lang w:val="en-CA" w:eastAsia="ja-JP"/>
        </w:rPr>
        <w:t xml:space="preserve"> for those covered by the EU Saving Directive.</w:t>
      </w:r>
    </w:p>
    <w:p w14:paraId="1CC3EBE0" w14:textId="77777777" w:rsidR="0013188B" w:rsidRPr="00932732" w:rsidRDefault="0013188B" w:rsidP="008748E7">
      <w:pPr>
        <w:jc w:val="both"/>
        <w:rPr>
          <w:rFonts w:ascii="Cambria" w:hAnsi="Cambria" w:cs="Baskerville"/>
          <w:lang w:val="en-CA" w:eastAsia="ja-JP"/>
        </w:rPr>
      </w:pPr>
    </w:p>
    <w:p w14:paraId="2B9FCF49" w14:textId="536D2FB8" w:rsidR="0009514C" w:rsidRPr="00932732" w:rsidRDefault="0013188B" w:rsidP="008748E7">
      <w:pPr>
        <w:jc w:val="both"/>
        <w:rPr>
          <w:rFonts w:ascii="Cambria" w:hAnsi="Cambria" w:cs="Baskerville"/>
          <w:lang w:val="en-CA" w:eastAsia="ja-JP"/>
        </w:rPr>
      </w:pPr>
      <w:r w:rsidRPr="00932732">
        <w:rPr>
          <w:rFonts w:ascii="Cambria" w:hAnsi="Cambria" w:cs="Baskerville"/>
          <w:lang w:val="en-CA" w:eastAsia="ja-JP"/>
        </w:rPr>
        <w:t xml:space="preserve">It should also be noted that the 20-25% figure only </w:t>
      </w:r>
      <w:r w:rsidR="008748E7" w:rsidRPr="00932732">
        <w:rPr>
          <w:rFonts w:ascii="Cambria" w:hAnsi="Cambria" w:cs="Baskerville"/>
          <w:lang w:val="en-CA" w:eastAsia="ja-JP"/>
        </w:rPr>
        <w:t>applies to</w:t>
      </w:r>
      <w:r w:rsidRPr="00932732">
        <w:rPr>
          <w:rFonts w:ascii="Cambria" w:hAnsi="Cambria" w:cs="Baskerville"/>
          <w:lang w:val="en-CA" w:eastAsia="ja-JP"/>
        </w:rPr>
        <w:t xml:space="preserve"> the wealth covered by the EU Saving Directive, which is only a very small fraction of the global offshore wealth. </w:t>
      </w:r>
      <w:r w:rsidR="0009514C" w:rsidRPr="00932732">
        <w:rPr>
          <w:rFonts w:ascii="Cambria" w:hAnsi="Cambria" w:cs="Baskerville"/>
          <w:lang w:val="en-CA" w:eastAsia="ja-JP"/>
        </w:rPr>
        <w:t>There is no information on the fraction of offshore wealth declared in the tax havens</w:t>
      </w:r>
      <w:r w:rsidRPr="00932732">
        <w:rPr>
          <w:rFonts w:ascii="Cambria" w:hAnsi="Cambria" w:cs="Baskerville"/>
          <w:lang w:val="en-CA" w:eastAsia="ja-JP"/>
        </w:rPr>
        <w:t xml:space="preserve"> other than Switzerland</w:t>
      </w:r>
      <w:r w:rsidR="0009514C" w:rsidRPr="00932732">
        <w:rPr>
          <w:rFonts w:ascii="Cambria" w:hAnsi="Cambria" w:cs="Baskerville"/>
          <w:lang w:val="en-CA" w:eastAsia="ja-JP"/>
        </w:rPr>
        <w:t xml:space="preserve">. More research is needed in this area. </w:t>
      </w:r>
    </w:p>
    <w:p w14:paraId="138E46AD" w14:textId="77777777" w:rsidR="007F670D" w:rsidRPr="00932732" w:rsidRDefault="007F670D" w:rsidP="008748E7">
      <w:pPr>
        <w:jc w:val="both"/>
        <w:rPr>
          <w:rFonts w:ascii="Cambria" w:hAnsi="Cambria" w:cs="Baskerville"/>
          <w:lang w:val="en-CA" w:eastAsia="ja-JP"/>
        </w:rPr>
      </w:pPr>
    </w:p>
    <w:p w14:paraId="543A294C" w14:textId="60A79EC8" w:rsidR="007F670D" w:rsidRPr="00932732" w:rsidRDefault="007F670D" w:rsidP="008748E7">
      <w:pPr>
        <w:jc w:val="both"/>
        <w:rPr>
          <w:rFonts w:ascii="Cambria" w:hAnsi="Cambria" w:cs="Baskerville"/>
          <w:lang w:val="en-CA" w:eastAsia="ja-JP"/>
        </w:rPr>
      </w:pPr>
      <w:r w:rsidRPr="00932732">
        <w:rPr>
          <w:rFonts w:ascii="Cambria" w:hAnsi="Cambria" w:cs="Baskerville"/>
          <w:lang w:val="en-CA" w:eastAsia="ja-JP"/>
        </w:rPr>
        <w:t>For up-to-date analysis of the Swiss AFC data, the reader is</w:t>
      </w:r>
      <w:r w:rsidR="00EA516D" w:rsidRPr="00932732">
        <w:rPr>
          <w:rFonts w:ascii="Cambria" w:hAnsi="Cambria" w:cs="Baskerville"/>
          <w:lang w:val="en-CA" w:eastAsia="ja-JP"/>
        </w:rPr>
        <w:t xml:space="preserve"> referred to the Appendix of </w:t>
      </w:r>
      <w:r w:rsidRPr="00932732">
        <w:rPr>
          <w:rFonts w:ascii="Cambria" w:hAnsi="Cambria" w:cs="Baskerville"/>
          <w:lang w:val="en-CA" w:eastAsia="ja-JP"/>
        </w:rPr>
        <w:t>G. Zucman (2014), “</w:t>
      </w:r>
      <w:hyperlink r:id="rId23" w:history="1">
        <w:r w:rsidRPr="00932732">
          <w:rPr>
            <w:rStyle w:val="Hyperlink"/>
            <w:rFonts w:ascii="Cambria" w:hAnsi="Cambria" w:cs="Baskerville"/>
            <w:lang w:val="en-CA" w:eastAsia="ja-JP"/>
          </w:rPr>
          <w:t>Taxing Across Borders</w:t>
        </w:r>
        <w:r w:rsidR="00F935AB" w:rsidRPr="00932732">
          <w:rPr>
            <w:rStyle w:val="Hyperlink"/>
            <w:rFonts w:ascii="Cambria" w:hAnsi="Cambria" w:cs="Baskerville"/>
            <w:lang w:val="en-CA" w:eastAsia="ja-JP"/>
          </w:rPr>
          <w:t>…</w:t>
        </w:r>
      </w:hyperlink>
      <w:r w:rsidRPr="00932732">
        <w:rPr>
          <w:rFonts w:ascii="Cambria" w:hAnsi="Cambria" w:cs="Baskerville"/>
          <w:lang w:val="en-CA" w:eastAsia="ja-JP"/>
        </w:rPr>
        <w:t xml:space="preserve">”, </w:t>
      </w:r>
      <w:r w:rsidRPr="00932732">
        <w:rPr>
          <w:rFonts w:ascii="Cambria" w:hAnsi="Cambria" w:cs="Baskerville"/>
          <w:i/>
          <w:lang w:val="en-CA" w:eastAsia="ja-JP"/>
        </w:rPr>
        <w:t>Journal of Economic Perspectives</w:t>
      </w:r>
      <w:r w:rsidR="00090409" w:rsidRPr="00932732">
        <w:rPr>
          <w:rFonts w:ascii="Cambria" w:hAnsi="Cambria" w:cs="Baskerville"/>
          <w:lang w:val="en-CA" w:eastAsia="ja-JP"/>
        </w:rPr>
        <w:t xml:space="preserve"> 2014</w:t>
      </w:r>
      <w:r w:rsidRPr="00932732">
        <w:rPr>
          <w:rFonts w:ascii="Cambria" w:hAnsi="Cambria" w:cs="Baskerville"/>
          <w:lang w:val="en-CA" w:eastAsia="ja-JP"/>
        </w:rPr>
        <w:t xml:space="preserve">, which can be </w:t>
      </w:r>
      <w:hyperlink r:id="rId24" w:history="1">
        <w:r w:rsidRPr="00932732">
          <w:rPr>
            <w:rStyle w:val="Hyperlink"/>
            <w:rFonts w:ascii="Cambria" w:hAnsi="Cambria" w:cs="Baskerville"/>
            <w:lang w:val="en-CA" w:eastAsia="ja-JP"/>
          </w:rPr>
          <w:t>downloaded here</w:t>
        </w:r>
      </w:hyperlink>
      <w:r w:rsidR="00EA516D" w:rsidRPr="00932732">
        <w:rPr>
          <w:rFonts w:ascii="Cambria" w:hAnsi="Cambria" w:cs="Baskerville"/>
          <w:lang w:val="en-CA" w:eastAsia="ja-JP"/>
        </w:rPr>
        <w:t xml:space="preserve">, and to </w:t>
      </w:r>
      <w:hyperlink r:id="rId25" w:history="1">
        <w:r w:rsidR="00EA516D" w:rsidRPr="00932732">
          <w:rPr>
            <w:rStyle w:val="Hyperlink"/>
            <w:rFonts w:ascii="Cambria" w:hAnsi="Cambria" w:cs="Baskerville"/>
            <w:lang w:val="en-CA" w:eastAsia="ja-JP"/>
          </w:rPr>
          <w:t>Roussile (2015)</w:t>
        </w:r>
      </w:hyperlink>
      <w:r w:rsidR="00EA516D" w:rsidRPr="00932732">
        <w:rPr>
          <w:rFonts w:ascii="Cambria" w:hAnsi="Cambria" w:cs="Baskerville"/>
          <w:lang w:val="en-CA" w:eastAsia="ja-JP"/>
        </w:rPr>
        <w:t>.</w:t>
      </w:r>
    </w:p>
    <w:p w14:paraId="0D388F19" w14:textId="77777777" w:rsidR="002979BA" w:rsidRPr="00932732" w:rsidRDefault="002979BA" w:rsidP="008748E7">
      <w:pPr>
        <w:jc w:val="both"/>
        <w:rPr>
          <w:rFonts w:ascii="Cambria" w:hAnsi="Cambria" w:cs="Baskerville"/>
          <w:lang w:val="en-CA" w:eastAsia="ja-JP"/>
        </w:rPr>
      </w:pPr>
    </w:p>
    <w:p w14:paraId="38971BFA" w14:textId="77777777" w:rsidR="00572434" w:rsidRPr="00932732" w:rsidRDefault="00572434" w:rsidP="008748E7">
      <w:pPr>
        <w:jc w:val="both"/>
        <w:rPr>
          <w:rFonts w:ascii="Cambria" w:hAnsi="Cambria" w:cs="Baskerville"/>
          <w:lang w:val="en-CA" w:eastAsia="ja-JP"/>
        </w:rPr>
      </w:pPr>
    </w:p>
    <w:p w14:paraId="4A1C72D7" w14:textId="7A9B8005" w:rsidR="0029579F" w:rsidRPr="00932732" w:rsidRDefault="00B02C82" w:rsidP="00033B08">
      <w:pPr>
        <w:pStyle w:val="Heading2"/>
        <w:rPr>
          <w:rFonts w:ascii="Cambria" w:hAnsi="Cambria"/>
          <w:lang w:val="en-CA" w:eastAsia="ja-JP"/>
        </w:rPr>
      </w:pPr>
      <w:bookmarkStart w:id="10" w:name="_Toc430261424"/>
      <w:r w:rsidRPr="00932732">
        <w:rPr>
          <w:rFonts w:ascii="Cambria" w:hAnsi="Cambria"/>
          <w:lang w:val="en-CA" w:eastAsia="ja-JP"/>
        </w:rPr>
        <w:t>M</w:t>
      </w:r>
      <w:r w:rsidR="0029579F" w:rsidRPr="00932732">
        <w:rPr>
          <w:rFonts w:ascii="Cambria" w:hAnsi="Cambria"/>
          <w:lang w:val="en-CA" w:eastAsia="ja-JP"/>
        </w:rPr>
        <w:t>utual fund returns</w:t>
      </w:r>
      <w:bookmarkEnd w:id="10"/>
    </w:p>
    <w:p w14:paraId="406E8A7B" w14:textId="77777777" w:rsidR="0029579F" w:rsidRPr="00932732" w:rsidRDefault="0029579F" w:rsidP="0029579F">
      <w:pPr>
        <w:jc w:val="both"/>
        <w:rPr>
          <w:rFonts w:ascii="Cambria" w:hAnsi="Cambria" w:cs="Baskerville"/>
          <w:lang w:val="en-CA" w:eastAsia="ja-JP"/>
        </w:rPr>
      </w:pPr>
    </w:p>
    <w:p w14:paraId="6BC36B7F"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The MSCI world – which captures equity investments in large and mid-caps across 24 equity markets – had a + 8.16% yearly average return between July 2003 and July 2013, see MSCI world factsheet.</w:t>
      </w:r>
    </w:p>
    <w:p w14:paraId="36897470" w14:textId="77777777" w:rsidR="007C1BB9" w:rsidRPr="00932732" w:rsidRDefault="007C1BB9" w:rsidP="0029579F">
      <w:pPr>
        <w:jc w:val="both"/>
        <w:rPr>
          <w:rFonts w:ascii="Cambria" w:hAnsi="Cambria" w:cs="Baskerville"/>
          <w:lang w:val="en-CA" w:eastAsia="ja-JP"/>
        </w:rPr>
      </w:pPr>
    </w:p>
    <w:p w14:paraId="42FFC6AC" w14:textId="33C79AD3"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 xml:space="preserve">Vanguard provides a large </w:t>
      </w:r>
      <w:r w:rsidR="00923837" w:rsidRPr="00932732">
        <w:rPr>
          <w:rFonts w:ascii="Cambria" w:hAnsi="Cambria" w:cs="Baskerville"/>
          <w:lang w:val="en-CA" w:eastAsia="ja-JP"/>
        </w:rPr>
        <w:t>number of benchmark indexes</w:t>
      </w:r>
      <w:r w:rsidRPr="00932732">
        <w:rPr>
          <w:rFonts w:ascii="Cambria" w:hAnsi="Cambria" w:cs="Baskerville"/>
          <w:lang w:val="en-CA" w:eastAsia="ja-JP"/>
        </w:rPr>
        <w:t xml:space="preserve">, with 1, 3, 5 and 10-years return. </w:t>
      </w:r>
      <w:r w:rsidR="00923837" w:rsidRPr="00932732">
        <w:rPr>
          <w:rFonts w:ascii="Cambria" w:hAnsi="Cambria" w:cs="Baskerville"/>
          <w:lang w:val="en-CA" w:eastAsia="ja-JP"/>
        </w:rPr>
        <w:t>As of the summer of 2013, a</w:t>
      </w:r>
      <w:r w:rsidRPr="00932732">
        <w:rPr>
          <w:rFonts w:ascii="Cambria" w:hAnsi="Cambria" w:cs="Baskerville"/>
          <w:lang w:val="en-CA" w:eastAsia="ja-JP"/>
        </w:rPr>
        <w:t>ll composite indexes show large</w:t>
      </w:r>
      <w:r w:rsidR="00923837" w:rsidRPr="00932732">
        <w:rPr>
          <w:rFonts w:ascii="Cambria" w:hAnsi="Cambria" w:cs="Baskerville"/>
          <w:lang w:val="en-CA" w:eastAsia="ja-JP"/>
        </w:rPr>
        <w:t xml:space="preserve"> positive</w:t>
      </w:r>
      <w:r w:rsidRPr="00932732">
        <w:rPr>
          <w:rFonts w:ascii="Cambria" w:hAnsi="Cambria" w:cs="Baskerville"/>
          <w:lang w:val="en-CA" w:eastAsia="ja-JP"/>
        </w:rPr>
        <w:t xml:space="preserve"> returns over a 10-years period, typically in the 6-8% range. </w:t>
      </w:r>
    </w:p>
    <w:p w14:paraId="5244CA7F" w14:textId="77777777" w:rsidR="007C1BB9" w:rsidRPr="00932732" w:rsidRDefault="007C1BB9" w:rsidP="0029579F">
      <w:pPr>
        <w:jc w:val="both"/>
        <w:rPr>
          <w:rFonts w:ascii="Cambria" w:hAnsi="Cambria" w:cs="Baskerville"/>
          <w:lang w:val="en-CA" w:eastAsia="ja-JP"/>
        </w:rPr>
      </w:pPr>
    </w:p>
    <w:p w14:paraId="0042FBDB" w14:textId="341953DD" w:rsidR="0029579F" w:rsidRPr="00932732" w:rsidRDefault="0029579F" w:rsidP="007C1BB9">
      <w:pPr>
        <w:jc w:val="both"/>
        <w:rPr>
          <w:rFonts w:ascii="Cambria" w:hAnsi="Cambria" w:cs="Baskerville"/>
          <w:lang w:val="en-CA" w:eastAsia="ja-JP"/>
        </w:rPr>
      </w:pPr>
      <w:r w:rsidRPr="00932732">
        <w:rPr>
          <w:rFonts w:ascii="Cambria" w:hAnsi="Cambria" w:cs="Baskerville"/>
          <w:lang w:val="en-CA" w:eastAsia="ja-JP"/>
        </w:rPr>
        <w:t xml:space="preserve">These are nominal returns, before tax and before fees. They are well in line with the 6% return average nominal return on offshore accounts I retain.  </w:t>
      </w:r>
    </w:p>
    <w:p w14:paraId="792FFEAC" w14:textId="436C606E" w:rsidR="002979BA" w:rsidRPr="00932732" w:rsidRDefault="002979BA">
      <w:pPr>
        <w:spacing w:line="240" w:lineRule="auto"/>
        <w:rPr>
          <w:rFonts w:ascii="Cambria" w:hAnsi="Cambria" w:cs="Baskerville"/>
          <w:lang w:val="en-CA" w:eastAsia="ja-JP"/>
        </w:rPr>
      </w:pPr>
      <w:r w:rsidRPr="00932732">
        <w:rPr>
          <w:rFonts w:ascii="Cambria" w:hAnsi="Cambria" w:cs="Baskerville"/>
          <w:lang w:val="en-CA" w:eastAsia="ja-JP"/>
        </w:rPr>
        <w:br w:type="page"/>
      </w:r>
    </w:p>
    <w:p w14:paraId="2FBC4503" w14:textId="77777777" w:rsidR="00352489" w:rsidRPr="00932732" w:rsidRDefault="00352489" w:rsidP="00352489">
      <w:pPr>
        <w:jc w:val="both"/>
        <w:rPr>
          <w:rFonts w:ascii="Cambria" w:hAnsi="Cambria" w:cs="Baskerville"/>
          <w:lang w:val="en-CA" w:eastAsia="ja-JP"/>
        </w:rPr>
      </w:pPr>
    </w:p>
    <w:p w14:paraId="13F5ADE4" w14:textId="4B08D5B5" w:rsidR="00DE61F7" w:rsidRPr="00932732" w:rsidRDefault="009148FB" w:rsidP="00DE61F7">
      <w:pPr>
        <w:pStyle w:val="Heading1"/>
        <w:jc w:val="center"/>
        <w:rPr>
          <w:rFonts w:ascii="Cambria" w:hAnsi="Cambria"/>
          <w:lang w:val="en-CA" w:eastAsia="ja-JP"/>
        </w:rPr>
      </w:pPr>
      <w:bookmarkStart w:id="11" w:name="_Toc430261425"/>
      <w:r w:rsidRPr="00932732">
        <w:rPr>
          <w:rFonts w:ascii="Cambria" w:hAnsi="Cambria"/>
          <w:lang w:val="en-CA" w:eastAsia="ja-JP"/>
        </w:rPr>
        <w:t>Chapter 3: Mistakes</w:t>
      </w:r>
      <w:bookmarkEnd w:id="11"/>
    </w:p>
    <w:p w14:paraId="4390F5A8" w14:textId="77777777" w:rsidR="0029579F" w:rsidRPr="00932732" w:rsidRDefault="0029579F">
      <w:pPr>
        <w:spacing w:line="240" w:lineRule="auto"/>
        <w:rPr>
          <w:rFonts w:ascii="Cambria" w:hAnsi="Cambria" w:cs="Baskerville"/>
          <w:lang w:val="en-CA" w:eastAsia="ja-JP"/>
        </w:rPr>
      </w:pPr>
    </w:p>
    <w:p w14:paraId="7799DE71" w14:textId="40FA9476" w:rsidR="0029579F" w:rsidRPr="00932732" w:rsidRDefault="009148FB" w:rsidP="00CA6BB3">
      <w:pPr>
        <w:pStyle w:val="Heading2"/>
        <w:rPr>
          <w:rFonts w:ascii="Cambria" w:hAnsi="Cambria"/>
          <w:lang w:val="en-CA" w:eastAsia="ja-JP"/>
        </w:rPr>
      </w:pPr>
      <w:bookmarkStart w:id="12" w:name="_Toc430261426"/>
      <w:r w:rsidRPr="00932732">
        <w:rPr>
          <w:rFonts w:ascii="Cambria" w:hAnsi="Cambria"/>
          <w:lang w:val="en-CA" w:eastAsia="ja-JP"/>
        </w:rPr>
        <w:t>The birth of automatic exchange of bank information.</w:t>
      </w:r>
      <w:bookmarkEnd w:id="12"/>
    </w:p>
    <w:p w14:paraId="4B165A93" w14:textId="77777777" w:rsidR="00CA6BB3" w:rsidRPr="00932732" w:rsidRDefault="00CA6BB3" w:rsidP="0029579F">
      <w:pPr>
        <w:jc w:val="both"/>
        <w:rPr>
          <w:rFonts w:ascii="Cambria" w:hAnsi="Cambria" w:cs="Baskerville"/>
          <w:lang w:val="en-CA" w:eastAsia="ja-JP"/>
        </w:rPr>
      </w:pPr>
    </w:p>
    <w:p w14:paraId="4159E9D9" w14:textId="50B02EFC" w:rsidR="00CA6BB3" w:rsidRPr="00932732" w:rsidRDefault="00CA6BB3" w:rsidP="0029579F">
      <w:pPr>
        <w:jc w:val="both"/>
        <w:rPr>
          <w:rFonts w:ascii="Cambria" w:hAnsi="Cambria" w:cs="Baskerville"/>
          <w:lang w:val="en-CA" w:eastAsia="ja-JP"/>
        </w:rPr>
      </w:pPr>
      <w:r w:rsidRPr="00932732">
        <w:rPr>
          <w:rFonts w:ascii="Cambria" w:hAnsi="Cambria" w:cs="Baskerville"/>
          <w:lang w:val="en-CA" w:eastAsia="ja-JP"/>
        </w:rPr>
        <w:t>Some references</w:t>
      </w:r>
      <w:r w:rsidR="007C1BB9" w:rsidRPr="00932732">
        <w:rPr>
          <w:rFonts w:ascii="Cambria" w:hAnsi="Cambria" w:cs="Baskerville"/>
          <w:lang w:val="en-CA" w:eastAsia="ja-JP"/>
        </w:rPr>
        <w:t xml:space="preserve"> for the birth of automatic information exchange in the 1900-1910 decade and debates about tax evasion in pre-World War 1 period</w:t>
      </w:r>
      <w:r w:rsidRPr="00932732">
        <w:rPr>
          <w:rFonts w:ascii="Cambria" w:hAnsi="Cambria" w:cs="Baskerville"/>
          <w:lang w:val="en-CA" w:eastAsia="ja-JP"/>
        </w:rPr>
        <w:t>:</w:t>
      </w:r>
    </w:p>
    <w:p w14:paraId="64F79134" w14:textId="77777777" w:rsidR="0029579F" w:rsidRPr="00932732" w:rsidRDefault="0029579F" w:rsidP="0029579F">
      <w:pPr>
        <w:jc w:val="both"/>
        <w:rPr>
          <w:rFonts w:ascii="Cambria" w:hAnsi="Cambria" w:cs="Baskerville"/>
          <w:lang w:val="en-CA" w:eastAsia="ja-JP"/>
        </w:rPr>
      </w:pPr>
    </w:p>
    <w:p w14:paraId="431143AF"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Bulletin de Statistique et de législation comparée, 1909, vol. 1, projet de budget pour l’exercice 1910, pp.616-</w:t>
      </w:r>
    </w:p>
    <w:p w14:paraId="085E6CD1"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http://gallica.bnf.fr/ark:/12148/bpt6k454584x/f455.image</w:t>
      </w:r>
    </w:p>
    <w:p w14:paraId="2981320B" w14:textId="77777777" w:rsidR="0029579F" w:rsidRPr="00932732" w:rsidRDefault="0029579F" w:rsidP="0029579F">
      <w:pPr>
        <w:jc w:val="both"/>
        <w:rPr>
          <w:rFonts w:ascii="Cambria" w:hAnsi="Cambria" w:cs="Baskerville"/>
          <w:lang w:val="en-CA" w:eastAsia="ja-JP"/>
        </w:rPr>
      </w:pPr>
    </w:p>
    <w:p w14:paraId="3894C10C" w14:textId="77777777" w:rsidR="0029579F" w:rsidRPr="00932732" w:rsidRDefault="0029579F" w:rsidP="0029579F">
      <w:pPr>
        <w:jc w:val="both"/>
        <w:rPr>
          <w:rFonts w:ascii="Cambria" w:hAnsi="Cambria" w:cs="Baskerville"/>
          <w:lang w:val="en-CA" w:eastAsia="ja-JP"/>
        </w:rPr>
      </w:pPr>
      <w:r w:rsidRPr="00932732">
        <w:rPr>
          <w:rFonts w:ascii="Cambria" w:hAnsi="Cambria" w:cs="Baskerville"/>
          <w:lang w:val="en-CA" w:eastAsia="ja-JP"/>
        </w:rPr>
        <w:t>René Dépinchault, La fraude successorale par le procédé du compte joint</w:t>
      </w:r>
    </w:p>
    <w:p w14:paraId="3DBEAE25" w14:textId="1CDB8FA9" w:rsidR="0029579F" w:rsidRPr="00932732" w:rsidRDefault="006F314E" w:rsidP="0029579F">
      <w:pPr>
        <w:jc w:val="both"/>
        <w:rPr>
          <w:rFonts w:ascii="Cambria" w:hAnsi="Cambria" w:cs="Baskerville"/>
          <w:lang w:val="en-CA" w:eastAsia="ja-JP"/>
        </w:rPr>
      </w:pPr>
      <w:hyperlink r:id="rId26" w:history="1">
        <w:r w:rsidR="002979BA" w:rsidRPr="00932732">
          <w:rPr>
            <w:rStyle w:val="Hyperlink"/>
            <w:rFonts w:ascii="Cambria" w:hAnsi="Cambria" w:cs="Baskerville"/>
            <w:lang w:val="en-CA" w:eastAsia="ja-JP"/>
          </w:rPr>
          <w:t>http://gallica.bnf.fr/ark:/12148/bpt6k6454789z/f19.image</w:t>
        </w:r>
      </w:hyperlink>
    </w:p>
    <w:p w14:paraId="19EBD97C" w14:textId="77777777" w:rsidR="002979BA" w:rsidRPr="00932732" w:rsidRDefault="002979BA" w:rsidP="0029579F">
      <w:pPr>
        <w:jc w:val="both"/>
        <w:rPr>
          <w:rFonts w:ascii="Cambria" w:hAnsi="Cambria" w:cs="Baskerville"/>
          <w:lang w:val="en-CA" w:eastAsia="ja-JP"/>
        </w:rPr>
      </w:pPr>
    </w:p>
    <w:p w14:paraId="506AB03D" w14:textId="2F23F6D3" w:rsidR="002979BA" w:rsidRPr="00932732" w:rsidRDefault="00B043E3" w:rsidP="00CA6BB3">
      <w:pPr>
        <w:pStyle w:val="Heading2"/>
        <w:rPr>
          <w:rFonts w:ascii="Cambria" w:hAnsi="Cambria"/>
          <w:lang w:val="en-CA" w:eastAsia="ja-JP"/>
        </w:rPr>
      </w:pPr>
      <w:bookmarkStart w:id="13" w:name="_Toc430261427"/>
      <w:r w:rsidRPr="00932732">
        <w:rPr>
          <w:rFonts w:ascii="Cambria" w:hAnsi="Cambria"/>
          <w:lang w:val="en-CA" w:eastAsia="ja-JP"/>
        </w:rPr>
        <w:t>The Saving Tax Directive</w:t>
      </w:r>
      <w:bookmarkEnd w:id="13"/>
    </w:p>
    <w:p w14:paraId="3B4DC86C" w14:textId="77777777" w:rsidR="00CA6BB3" w:rsidRPr="00932732" w:rsidRDefault="00CA6BB3" w:rsidP="002979BA">
      <w:pPr>
        <w:jc w:val="both"/>
        <w:rPr>
          <w:rFonts w:ascii="Cambria" w:hAnsi="Cambria" w:cs="Baskerville"/>
          <w:lang w:val="en-CA" w:eastAsia="ja-JP"/>
        </w:rPr>
      </w:pPr>
    </w:p>
    <w:p w14:paraId="75EE9720" w14:textId="3CC0BE07" w:rsidR="00CA6BB3" w:rsidRPr="00932732" w:rsidRDefault="00CA6BB3" w:rsidP="002979BA">
      <w:pPr>
        <w:jc w:val="both"/>
        <w:rPr>
          <w:rFonts w:ascii="Cambria" w:hAnsi="Cambria" w:cs="Baskerville"/>
          <w:lang w:val="en-CA" w:eastAsia="ja-JP"/>
        </w:rPr>
      </w:pPr>
      <w:r w:rsidRPr="00932732">
        <w:rPr>
          <w:rFonts w:ascii="Cambria" w:hAnsi="Cambria" w:cs="Baskerville"/>
          <w:lang w:val="en-CA" w:eastAsia="ja-JP"/>
        </w:rPr>
        <w:t xml:space="preserve">The effect of the EU Saving Directive on offshore accounts is analyzed in details in </w:t>
      </w:r>
      <w:hyperlink r:id="rId27" w:history="1">
        <w:r w:rsidRPr="00932732">
          <w:rPr>
            <w:rStyle w:val="Hyperlink"/>
            <w:rFonts w:ascii="Cambria" w:hAnsi="Cambria" w:cs="Baskerville"/>
            <w:lang w:val="en-CA" w:eastAsia="ja-JP"/>
          </w:rPr>
          <w:t>Zucman (2013)</w:t>
        </w:r>
      </w:hyperlink>
      <w:r w:rsidRPr="00932732">
        <w:rPr>
          <w:rFonts w:ascii="Cambria" w:hAnsi="Cambria" w:cs="Baskerville"/>
          <w:lang w:val="en-CA" w:eastAsia="ja-JP"/>
        </w:rPr>
        <w:t xml:space="preserve">, </w:t>
      </w:r>
      <w:hyperlink r:id="rId28" w:history="1">
        <w:r w:rsidRPr="00932732">
          <w:rPr>
            <w:rStyle w:val="Hyperlink"/>
            <w:rFonts w:ascii="Cambria" w:hAnsi="Cambria" w:cs="Baskerville"/>
            <w:lang w:val="en-CA" w:eastAsia="ja-JP"/>
          </w:rPr>
          <w:t>Johannesen &amp; Zucman (2014)</w:t>
        </w:r>
      </w:hyperlink>
      <w:r w:rsidRPr="00932732">
        <w:rPr>
          <w:rFonts w:ascii="Cambria" w:hAnsi="Cambria" w:cs="Baskerville"/>
          <w:lang w:val="en-CA" w:eastAsia="ja-JP"/>
        </w:rPr>
        <w:t xml:space="preserve">, and </w:t>
      </w:r>
      <w:hyperlink r:id="rId29" w:history="1">
        <w:r w:rsidRPr="00932732">
          <w:rPr>
            <w:rStyle w:val="Hyperlink"/>
            <w:rFonts w:ascii="Cambria" w:hAnsi="Cambria" w:cs="Baskerville"/>
            <w:lang w:val="en-CA" w:eastAsia="ja-JP"/>
          </w:rPr>
          <w:t>Johannesen (2012)</w:t>
        </w:r>
      </w:hyperlink>
      <w:r w:rsidRPr="00932732">
        <w:rPr>
          <w:rFonts w:ascii="Cambria" w:hAnsi="Cambria" w:cs="Baskerville"/>
          <w:lang w:val="en-CA" w:eastAsia="ja-JP"/>
        </w:rPr>
        <w:t>. The reader is referred to these studies for all relev</w:t>
      </w:r>
      <w:r w:rsidR="007C1BB9" w:rsidRPr="00932732">
        <w:rPr>
          <w:rFonts w:ascii="Cambria" w:hAnsi="Cambria" w:cs="Baskerville"/>
          <w:lang w:val="en-CA" w:eastAsia="ja-JP"/>
        </w:rPr>
        <w:t>a</w:t>
      </w:r>
      <w:r w:rsidRPr="00932732">
        <w:rPr>
          <w:rFonts w:ascii="Cambria" w:hAnsi="Cambria" w:cs="Baskerville"/>
          <w:lang w:val="en-CA" w:eastAsia="ja-JP"/>
        </w:rPr>
        <w:t>nt details.</w:t>
      </w:r>
    </w:p>
    <w:p w14:paraId="60F1E792" w14:textId="77777777" w:rsidR="00CA6BB3" w:rsidRPr="00932732" w:rsidRDefault="00CA6BB3" w:rsidP="002979BA">
      <w:pPr>
        <w:jc w:val="both"/>
        <w:rPr>
          <w:rFonts w:ascii="Cambria" w:hAnsi="Cambria" w:cs="Baskerville"/>
          <w:lang w:val="en-CA" w:eastAsia="ja-JP"/>
        </w:rPr>
      </w:pPr>
    </w:p>
    <w:p w14:paraId="6EF4A948" w14:textId="4B14EF1B" w:rsidR="002979BA" w:rsidRPr="00932732" w:rsidRDefault="002979BA" w:rsidP="002979BA">
      <w:pPr>
        <w:jc w:val="both"/>
        <w:rPr>
          <w:rFonts w:ascii="Cambria" w:hAnsi="Cambria" w:cs="Baskerville"/>
          <w:lang w:val="en-CA" w:eastAsia="ja-JP"/>
        </w:rPr>
      </w:pPr>
      <w:r w:rsidRPr="00932732">
        <w:rPr>
          <w:rFonts w:ascii="Cambria" w:hAnsi="Cambria" w:cs="Baskerville"/>
          <w:lang w:val="en-CA" w:eastAsia="ja-JP"/>
        </w:rPr>
        <w:t>Data on EU savings directive information exchange / withholding tax in Switzerland</w:t>
      </w:r>
      <w:r w:rsidR="00CA6BB3" w:rsidRPr="00932732">
        <w:rPr>
          <w:rFonts w:ascii="Cambria" w:hAnsi="Cambria" w:cs="Baskerville"/>
          <w:lang w:val="en-CA" w:eastAsia="ja-JP"/>
        </w:rPr>
        <w:t xml:space="preserve"> can be found here</w:t>
      </w:r>
      <w:r w:rsidRPr="00932732">
        <w:rPr>
          <w:rFonts w:ascii="Cambria" w:hAnsi="Cambria" w:cs="Baskerville"/>
          <w:lang w:val="en-CA" w:eastAsia="ja-JP"/>
        </w:rPr>
        <w:t xml:space="preserve">: </w:t>
      </w:r>
    </w:p>
    <w:p w14:paraId="3B0F2E29" w14:textId="77777777" w:rsidR="002979BA" w:rsidRPr="00932732" w:rsidRDefault="002979BA" w:rsidP="002979BA">
      <w:pPr>
        <w:jc w:val="both"/>
        <w:rPr>
          <w:rFonts w:ascii="Cambria" w:hAnsi="Cambria" w:cs="Baskerville"/>
          <w:lang w:val="en-CA" w:eastAsia="ja-JP"/>
        </w:rPr>
      </w:pPr>
      <w:r w:rsidRPr="00932732">
        <w:rPr>
          <w:rFonts w:ascii="Cambria" w:hAnsi="Cambria" w:cs="Baskerville"/>
          <w:lang w:val="en-CA" w:eastAsia="ja-JP"/>
        </w:rPr>
        <w:t>http://www.estv.admin.ch/dokumentation/00075/00076/00946/index.html?lang=fr</w:t>
      </w:r>
    </w:p>
    <w:p w14:paraId="2E230137" w14:textId="77777777" w:rsidR="002979BA" w:rsidRPr="00932732" w:rsidRDefault="002979BA" w:rsidP="0029579F">
      <w:pPr>
        <w:jc w:val="both"/>
        <w:rPr>
          <w:rFonts w:ascii="Cambria" w:hAnsi="Cambria" w:cs="Baskerville"/>
          <w:lang w:val="en-CA" w:eastAsia="ja-JP"/>
        </w:rPr>
      </w:pPr>
    </w:p>
    <w:p w14:paraId="2B2CFAAF" w14:textId="77777777" w:rsidR="0029579F" w:rsidRPr="00932732" w:rsidRDefault="0029579F">
      <w:pPr>
        <w:spacing w:line="240" w:lineRule="auto"/>
        <w:rPr>
          <w:rFonts w:ascii="Cambria" w:hAnsi="Cambria" w:cs="Baskerville"/>
          <w:lang w:val="en-CA" w:eastAsia="ja-JP"/>
        </w:rPr>
      </w:pPr>
    </w:p>
    <w:p w14:paraId="509090CA" w14:textId="77777777" w:rsidR="00DE61F7" w:rsidRPr="00932732" w:rsidRDefault="00DE61F7" w:rsidP="00352489">
      <w:pPr>
        <w:jc w:val="both"/>
        <w:rPr>
          <w:rFonts w:ascii="Cambria" w:hAnsi="Cambria" w:cs="Baskerville"/>
          <w:lang w:val="en-CA" w:eastAsia="ja-JP"/>
        </w:rPr>
      </w:pPr>
    </w:p>
    <w:p w14:paraId="3AAEDB47" w14:textId="77777777" w:rsidR="007A269E" w:rsidRPr="00932732" w:rsidRDefault="007A269E" w:rsidP="00352489">
      <w:pPr>
        <w:jc w:val="both"/>
        <w:rPr>
          <w:rFonts w:ascii="Cambria" w:hAnsi="Cambria" w:cs="Baskerville"/>
          <w:lang w:val="en-CA" w:eastAsia="ja-JP"/>
        </w:rPr>
      </w:pPr>
    </w:p>
    <w:p w14:paraId="29023D91" w14:textId="65A55F9F" w:rsidR="00DE61F7" w:rsidRPr="00932732" w:rsidRDefault="009F4A99" w:rsidP="00DE61F7">
      <w:pPr>
        <w:pStyle w:val="Heading1"/>
        <w:jc w:val="center"/>
        <w:rPr>
          <w:rFonts w:ascii="Cambria" w:hAnsi="Cambria"/>
          <w:lang w:val="en-CA" w:eastAsia="ja-JP"/>
        </w:rPr>
      </w:pPr>
      <w:bookmarkStart w:id="14" w:name="_Toc430261428"/>
      <w:r w:rsidRPr="00932732">
        <w:rPr>
          <w:rFonts w:ascii="Cambria" w:hAnsi="Cambria"/>
          <w:lang w:val="en-CA" w:eastAsia="ja-JP"/>
        </w:rPr>
        <w:t>Chapter 4: What to do? A New Approach</w:t>
      </w:r>
      <w:bookmarkEnd w:id="14"/>
      <w:r w:rsidRPr="00932732">
        <w:rPr>
          <w:rFonts w:ascii="Cambria" w:hAnsi="Cambria"/>
          <w:lang w:val="en-CA" w:eastAsia="ja-JP"/>
        </w:rPr>
        <w:t xml:space="preserve"> </w:t>
      </w:r>
    </w:p>
    <w:p w14:paraId="1DD5AAB2" w14:textId="77777777" w:rsidR="00DE61F7" w:rsidRPr="00932732" w:rsidRDefault="00DE61F7" w:rsidP="00352489">
      <w:pPr>
        <w:jc w:val="both"/>
        <w:rPr>
          <w:rFonts w:ascii="Cambria" w:hAnsi="Cambria" w:cs="Baskerville"/>
          <w:lang w:val="en-CA" w:eastAsia="ja-JP"/>
        </w:rPr>
      </w:pPr>
    </w:p>
    <w:p w14:paraId="055E785A" w14:textId="77777777" w:rsidR="00352489" w:rsidRPr="00932732" w:rsidRDefault="00352489" w:rsidP="00352489">
      <w:pPr>
        <w:jc w:val="both"/>
        <w:rPr>
          <w:rFonts w:ascii="Cambria" w:hAnsi="Cambria" w:cs="Baskerville"/>
          <w:lang w:val="en-CA" w:eastAsia="ja-JP"/>
        </w:rPr>
      </w:pPr>
    </w:p>
    <w:p w14:paraId="143BCFE4" w14:textId="0EADF8D8" w:rsidR="00352489" w:rsidRPr="00932732" w:rsidRDefault="009F4A99" w:rsidP="005F1AA1">
      <w:pPr>
        <w:pStyle w:val="Heading2"/>
        <w:rPr>
          <w:rFonts w:ascii="Cambria" w:hAnsi="Cambria"/>
          <w:lang w:val="en-CA" w:eastAsia="ja-JP"/>
        </w:rPr>
      </w:pPr>
      <w:bookmarkStart w:id="15" w:name="_Toc430261429"/>
      <w:r w:rsidRPr="00932732">
        <w:rPr>
          <w:rFonts w:ascii="Cambria" w:hAnsi="Cambria"/>
          <w:lang w:val="en-CA" w:eastAsia="ja-JP"/>
        </w:rPr>
        <w:t>Data on the Luxembourg Economy</w:t>
      </w:r>
      <w:r w:rsidR="00D11BCC" w:rsidRPr="00932732">
        <w:rPr>
          <w:rFonts w:ascii="Cambria" w:hAnsi="Cambria"/>
          <w:lang w:val="en-CA" w:eastAsia="ja-JP"/>
        </w:rPr>
        <w:t xml:space="preserve"> (in French)</w:t>
      </w:r>
      <w:bookmarkEnd w:id="15"/>
    </w:p>
    <w:p w14:paraId="55A32456" w14:textId="77777777" w:rsidR="00352489" w:rsidRPr="00932732" w:rsidRDefault="00352489" w:rsidP="00352489">
      <w:pPr>
        <w:jc w:val="both"/>
        <w:rPr>
          <w:rFonts w:ascii="Cambria" w:hAnsi="Cambria" w:cs="Baskerville"/>
          <w:lang w:val="en-CA" w:eastAsia="ja-JP"/>
        </w:rPr>
      </w:pPr>
    </w:p>
    <w:p w14:paraId="6EB5CE28" w14:textId="450EDF24" w:rsidR="00352489" w:rsidRPr="00932732" w:rsidRDefault="005F1AA1" w:rsidP="00352489">
      <w:pPr>
        <w:jc w:val="both"/>
        <w:rPr>
          <w:rFonts w:ascii="Cambria" w:hAnsi="Cambria" w:cs="Baskerville"/>
          <w:lang w:val="en-CA" w:eastAsia="ja-JP"/>
        </w:rPr>
      </w:pPr>
      <w:r w:rsidRPr="00932732">
        <w:rPr>
          <w:rFonts w:ascii="Cambria" w:hAnsi="Cambria" w:cs="Baskerville"/>
          <w:lang w:val="en-CA" w:eastAsia="ja-JP"/>
        </w:rPr>
        <w:t xml:space="preserve">Les données relatives à l’économie luxembourgeoise, qui sont mentionnées aux pages 92-97, sont </w:t>
      </w:r>
      <w:r w:rsidR="000E60F9" w:rsidRPr="00932732">
        <w:rPr>
          <w:rFonts w:ascii="Cambria" w:hAnsi="Cambria" w:cs="Baskerville"/>
          <w:lang w:val="en-CA" w:eastAsia="ja-JP"/>
        </w:rPr>
        <w:t xml:space="preserve">rassemblées et organisées </w:t>
      </w:r>
      <w:r w:rsidRPr="00932732">
        <w:rPr>
          <w:rFonts w:ascii="Cambria" w:hAnsi="Cambria" w:cs="Baskerville"/>
          <w:lang w:val="en-CA" w:eastAsia="ja-JP"/>
        </w:rPr>
        <w:t>dans le fichier Excel</w:t>
      </w:r>
      <w:r w:rsidR="0071606F" w:rsidRPr="00932732">
        <w:rPr>
          <w:rFonts w:ascii="Cambria" w:hAnsi="Cambria" w:cs="Baskerville"/>
          <w:lang w:val="en-CA" w:eastAsia="ja-JP"/>
        </w:rPr>
        <w:t xml:space="preserve"> disponible en ligne</w:t>
      </w:r>
      <w:r w:rsidRPr="00932732">
        <w:rPr>
          <w:rFonts w:ascii="Cambria" w:hAnsi="Cambria" w:cs="Baskerville"/>
          <w:lang w:val="en-CA" w:eastAsia="ja-JP"/>
        </w:rPr>
        <w:t xml:space="preserve"> </w:t>
      </w:r>
      <w:hyperlink r:id="rId30" w:history="1">
        <w:r w:rsidRPr="00932732">
          <w:rPr>
            <w:rStyle w:val="Hyperlink"/>
            <w:rFonts w:ascii="Cambria" w:hAnsi="Cambria" w:cs="Baskerville"/>
            <w:lang w:val="en-CA" w:eastAsia="ja-JP"/>
          </w:rPr>
          <w:t>Luxembourg.xlsx</w:t>
        </w:r>
      </w:hyperlink>
      <w:r w:rsidRPr="00932732">
        <w:rPr>
          <w:rFonts w:ascii="Cambria" w:hAnsi="Cambria" w:cs="Baskerville"/>
          <w:lang w:val="en-CA" w:eastAsia="ja-JP"/>
        </w:rPr>
        <w:t xml:space="preserve">. Les sources sont précisément indiquées dans ce fichier. D’une façon générale, les données proviennent </w:t>
      </w:r>
      <w:r w:rsidR="00DB03BB" w:rsidRPr="00932732">
        <w:rPr>
          <w:rFonts w:ascii="Cambria" w:hAnsi="Cambria" w:cs="Baskerville"/>
          <w:lang w:val="en-CA" w:eastAsia="ja-JP"/>
        </w:rPr>
        <w:t>de</w:t>
      </w:r>
      <w:r w:rsidRPr="00932732">
        <w:rPr>
          <w:rFonts w:ascii="Cambria" w:hAnsi="Cambria" w:cs="Baskerville"/>
          <w:lang w:val="en-CA" w:eastAsia="ja-JP"/>
        </w:rPr>
        <w:t xml:space="preserve"> l’OCDE (revenu national, PIB, </w:t>
      </w:r>
      <w:r w:rsidR="000E60F9" w:rsidRPr="00932732">
        <w:rPr>
          <w:rFonts w:ascii="Cambria" w:hAnsi="Cambria" w:cs="Baskerville"/>
          <w:lang w:val="en-CA" w:eastAsia="ja-JP"/>
        </w:rPr>
        <w:t>décomposition du PIB par secteur de production</w:t>
      </w:r>
      <w:r w:rsidR="00F9502B" w:rsidRPr="00932732">
        <w:rPr>
          <w:rFonts w:ascii="Cambria" w:hAnsi="Cambria" w:cs="Baskerville"/>
          <w:lang w:val="en-CA" w:eastAsia="ja-JP"/>
        </w:rPr>
        <w:t>, etc.</w:t>
      </w:r>
      <w:r w:rsidRPr="00932732">
        <w:rPr>
          <w:rFonts w:ascii="Cambria" w:hAnsi="Cambria" w:cs="Baskerville"/>
          <w:lang w:val="en-CA" w:eastAsia="ja-JP"/>
        </w:rPr>
        <w:t>)</w:t>
      </w:r>
      <w:r w:rsidR="00DB03BB" w:rsidRPr="00932732">
        <w:rPr>
          <w:rFonts w:ascii="Cambria" w:hAnsi="Cambria" w:cs="Baskerville"/>
          <w:lang w:val="en-CA" w:eastAsia="ja-JP"/>
        </w:rPr>
        <w:t xml:space="preserve">, ainsi dans certains cas que </w:t>
      </w:r>
      <w:r w:rsidRPr="00932732">
        <w:rPr>
          <w:rFonts w:ascii="Cambria" w:hAnsi="Cambria" w:cs="Baskerville"/>
          <w:lang w:val="en-CA" w:eastAsia="ja-JP"/>
        </w:rPr>
        <w:t>de l’office statistique luxe</w:t>
      </w:r>
      <w:r w:rsidR="00F9502B" w:rsidRPr="00932732">
        <w:rPr>
          <w:rFonts w:ascii="Cambria" w:hAnsi="Cambria" w:cs="Baskerville"/>
          <w:lang w:val="en-CA" w:eastAsia="ja-JP"/>
        </w:rPr>
        <w:t>mbourgeois, Statec</w:t>
      </w:r>
      <w:r w:rsidRPr="00932732">
        <w:rPr>
          <w:rFonts w:ascii="Cambria" w:hAnsi="Cambria" w:cs="Baskerville"/>
          <w:lang w:val="en-CA" w:eastAsia="ja-JP"/>
        </w:rPr>
        <w:t xml:space="preserve"> </w:t>
      </w:r>
      <w:r w:rsidR="005C5982" w:rsidRPr="00932732">
        <w:rPr>
          <w:rFonts w:ascii="Cambria" w:hAnsi="Cambria" w:cs="Baskerville"/>
          <w:lang w:val="en-CA" w:eastAsia="ja-JP"/>
        </w:rPr>
        <w:t>(</w:t>
      </w:r>
      <w:hyperlink r:id="rId31" w:history="1">
        <w:r w:rsidR="00DB03BB" w:rsidRPr="00932732">
          <w:rPr>
            <w:rFonts w:ascii="Cambria" w:hAnsi="Cambria" w:cs="Baskerville"/>
            <w:lang w:val="en-CA" w:eastAsia="ja-JP"/>
          </w:rPr>
          <w:t>http://www.statistiques.public.lu/</w:t>
        </w:r>
      </w:hyperlink>
      <w:r w:rsidR="00DB03BB" w:rsidRPr="00932732">
        <w:rPr>
          <w:rFonts w:ascii="Cambria" w:hAnsi="Cambria" w:cs="Baskerville"/>
          <w:lang w:val="en-CA" w:eastAsia="ja-JP"/>
        </w:rPr>
        <w:t>).</w:t>
      </w:r>
      <w:r w:rsidR="000E60F9" w:rsidRPr="00932732">
        <w:rPr>
          <w:rFonts w:ascii="Cambria" w:hAnsi="Cambria" w:cs="Baskerville"/>
          <w:lang w:val="en-CA" w:eastAsia="ja-JP"/>
        </w:rPr>
        <w:t xml:space="preserve"> L’avantage des données OCDE est qu’elle</w:t>
      </w:r>
      <w:r w:rsidR="00F9502B" w:rsidRPr="00932732">
        <w:rPr>
          <w:rFonts w:ascii="Cambria" w:hAnsi="Cambria" w:cs="Baskerville"/>
          <w:lang w:val="en-CA" w:eastAsia="ja-JP"/>
        </w:rPr>
        <w:t>s</w:t>
      </w:r>
      <w:r w:rsidR="000E60F9" w:rsidRPr="00932732">
        <w:rPr>
          <w:rFonts w:ascii="Cambria" w:hAnsi="Cambria" w:cs="Baskerville"/>
          <w:lang w:val="en-CA" w:eastAsia="ja-JP"/>
        </w:rPr>
        <w:t xml:space="preserve"> remontent à 1970, alors q</w:t>
      </w:r>
      <w:r w:rsidR="0071606F" w:rsidRPr="00932732">
        <w:rPr>
          <w:rFonts w:ascii="Cambria" w:hAnsi="Cambria" w:cs="Baskerville"/>
          <w:lang w:val="en-CA" w:eastAsia="ja-JP"/>
        </w:rPr>
        <w:t>ue les comptes nationaux actu</w:t>
      </w:r>
      <w:r w:rsidR="005C5982" w:rsidRPr="00932732">
        <w:rPr>
          <w:rFonts w:ascii="Cambria" w:hAnsi="Cambria" w:cs="Baskerville"/>
          <w:lang w:val="en-CA" w:eastAsia="ja-JP"/>
        </w:rPr>
        <w:t>e</w:t>
      </w:r>
      <w:r w:rsidR="0071606F" w:rsidRPr="00932732">
        <w:rPr>
          <w:rFonts w:ascii="Cambria" w:hAnsi="Cambria" w:cs="Baskerville"/>
          <w:lang w:val="en-CA" w:eastAsia="ja-JP"/>
        </w:rPr>
        <w:t xml:space="preserve">llement </w:t>
      </w:r>
      <w:r w:rsidR="005C5982" w:rsidRPr="00932732">
        <w:rPr>
          <w:rFonts w:ascii="Cambria" w:hAnsi="Cambria" w:cs="Baskerville"/>
          <w:lang w:val="en-CA" w:eastAsia="ja-JP"/>
        </w:rPr>
        <w:t>diffusés</w:t>
      </w:r>
      <w:r w:rsidR="000E60F9" w:rsidRPr="00932732">
        <w:rPr>
          <w:rFonts w:ascii="Cambria" w:hAnsi="Cambria" w:cs="Baskerville"/>
          <w:lang w:val="en-CA" w:eastAsia="ja-JP"/>
        </w:rPr>
        <w:t xml:space="preserve"> par Statec </w:t>
      </w:r>
      <w:r w:rsidR="0071606F" w:rsidRPr="00932732">
        <w:rPr>
          <w:rFonts w:ascii="Cambria" w:hAnsi="Cambria" w:cs="Baskerville"/>
          <w:lang w:val="en-CA" w:eastAsia="ja-JP"/>
        </w:rPr>
        <w:t xml:space="preserve">ne </w:t>
      </w:r>
      <w:r w:rsidR="000E60F9" w:rsidRPr="00932732">
        <w:rPr>
          <w:rFonts w:ascii="Cambria" w:hAnsi="Cambria" w:cs="Baskerville"/>
          <w:lang w:val="en-CA" w:eastAsia="ja-JP"/>
        </w:rPr>
        <w:t xml:space="preserve">commencent en général </w:t>
      </w:r>
      <w:r w:rsidR="0071606F" w:rsidRPr="00932732">
        <w:rPr>
          <w:rFonts w:ascii="Cambria" w:hAnsi="Cambria" w:cs="Baskerville"/>
          <w:lang w:val="en-CA" w:eastAsia="ja-JP"/>
        </w:rPr>
        <w:t>qu’</w:t>
      </w:r>
      <w:r w:rsidR="000E60F9" w:rsidRPr="00932732">
        <w:rPr>
          <w:rFonts w:ascii="Cambria" w:hAnsi="Cambria" w:cs="Baskerville"/>
          <w:lang w:val="en-CA" w:eastAsia="ja-JP"/>
        </w:rPr>
        <w:t xml:space="preserve">en 1995. Pour la période 1995-2013 les deux sources </w:t>
      </w:r>
      <w:r w:rsidR="00A558B3" w:rsidRPr="00932732">
        <w:rPr>
          <w:rFonts w:ascii="Cambria" w:hAnsi="Cambria" w:cs="Baskerville"/>
          <w:lang w:val="en-CA" w:eastAsia="ja-JP"/>
        </w:rPr>
        <w:t>fournissent en général des informations</w:t>
      </w:r>
      <w:r w:rsidR="00CE08C1" w:rsidRPr="00932732">
        <w:rPr>
          <w:rFonts w:ascii="Cambria" w:hAnsi="Cambria" w:cs="Baskerville"/>
          <w:lang w:val="en-CA" w:eastAsia="ja-JP"/>
        </w:rPr>
        <w:t xml:space="preserve"> </w:t>
      </w:r>
      <w:r w:rsidR="00A558B3" w:rsidRPr="00932732">
        <w:rPr>
          <w:rFonts w:ascii="Cambria" w:hAnsi="Cambria" w:cs="Baskerville"/>
          <w:lang w:val="en-CA" w:eastAsia="ja-JP"/>
        </w:rPr>
        <w:t>i</w:t>
      </w:r>
      <w:r w:rsidR="000E60F9" w:rsidRPr="00932732">
        <w:rPr>
          <w:rFonts w:ascii="Cambria" w:hAnsi="Cambria" w:cs="Baskerville"/>
          <w:lang w:val="en-CA" w:eastAsia="ja-JP"/>
        </w:rPr>
        <w:t xml:space="preserve">dentiques. </w:t>
      </w:r>
    </w:p>
    <w:p w14:paraId="088E0D17" w14:textId="77777777" w:rsidR="00DB03BB" w:rsidRPr="00932732" w:rsidRDefault="00DB03BB" w:rsidP="00352489">
      <w:pPr>
        <w:jc w:val="both"/>
        <w:rPr>
          <w:rFonts w:ascii="Cambria" w:hAnsi="Cambria"/>
          <w:u w:color="000000"/>
          <w:lang w:val="en-CA"/>
        </w:rPr>
      </w:pPr>
    </w:p>
    <w:p w14:paraId="7704827F" w14:textId="606BF1C0" w:rsidR="00675BC2" w:rsidRPr="00932732" w:rsidRDefault="00DB03BB" w:rsidP="00352489">
      <w:pPr>
        <w:jc w:val="both"/>
        <w:rPr>
          <w:rFonts w:ascii="Cambria" w:hAnsi="Cambria"/>
          <w:u w:color="000000"/>
          <w:lang w:val="en-CA"/>
        </w:rPr>
      </w:pPr>
      <w:r w:rsidRPr="00932732">
        <w:rPr>
          <w:rFonts w:ascii="Cambria" w:hAnsi="Cambria"/>
          <w:u w:color="000000"/>
          <w:lang w:val="en-CA"/>
        </w:rPr>
        <w:t xml:space="preserve">Comme le montre le tableau LU1, le PIB luxembourgeois s’élevait à 44 milliards d’euros en 2012, et le produit intérieur net – </w:t>
      </w:r>
      <w:r w:rsidR="00291414" w:rsidRPr="00932732">
        <w:rPr>
          <w:rFonts w:ascii="Cambria" w:hAnsi="Cambria"/>
          <w:u w:color="000000"/>
          <w:lang w:val="en-CA"/>
        </w:rPr>
        <w:t xml:space="preserve">c’est-à-dire </w:t>
      </w:r>
      <w:r w:rsidRPr="00932732">
        <w:rPr>
          <w:rFonts w:ascii="Cambria" w:hAnsi="Cambria"/>
          <w:u w:color="000000"/>
          <w:lang w:val="en-CA"/>
        </w:rPr>
        <w:t>le PIB une fois déduit</w:t>
      </w:r>
      <w:r w:rsidR="005C5982" w:rsidRPr="00932732">
        <w:rPr>
          <w:rFonts w:ascii="Cambria" w:hAnsi="Cambria"/>
          <w:u w:color="000000"/>
          <w:lang w:val="en-CA"/>
        </w:rPr>
        <w:t>e</w:t>
      </w:r>
      <w:r w:rsidRPr="00932732">
        <w:rPr>
          <w:rFonts w:ascii="Cambria" w:hAnsi="Cambria"/>
          <w:u w:color="000000"/>
          <w:lang w:val="en-CA"/>
        </w:rPr>
        <w:t xml:space="preserve"> la dépréciation du capital – </w:t>
      </w:r>
      <w:r w:rsidR="00291414" w:rsidRPr="00932732">
        <w:rPr>
          <w:rFonts w:ascii="Cambria" w:hAnsi="Cambria"/>
          <w:u w:color="000000"/>
          <w:lang w:val="en-CA"/>
        </w:rPr>
        <w:t xml:space="preserve">à </w:t>
      </w:r>
      <w:r w:rsidRPr="00932732">
        <w:rPr>
          <w:rFonts w:ascii="Cambria" w:hAnsi="Cambria"/>
          <w:u w:color="000000"/>
          <w:lang w:val="en-CA"/>
        </w:rPr>
        <w:t>39 milliards d’euros.</w:t>
      </w:r>
      <w:r w:rsidR="009D32EC" w:rsidRPr="00932732">
        <w:rPr>
          <w:rFonts w:ascii="Cambria" w:hAnsi="Cambria"/>
          <w:u w:color="000000"/>
          <w:lang w:val="en-CA"/>
        </w:rPr>
        <w:t xml:space="preserve"> Mais ce produit intérieur net inclut </w:t>
      </w:r>
      <w:r w:rsidR="00675BC2" w:rsidRPr="00932732">
        <w:rPr>
          <w:rFonts w:ascii="Cambria" w:hAnsi="Cambria"/>
          <w:u w:color="000000"/>
          <w:lang w:val="en-CA"/>
        </w:rPr>
        <w:t>plus de 12 milliards de revenus</w:t>
      </w:r>
      <w:r w:rsidR="00291414" w:rsidRPr="00932732">
        <w:rPr>
          <w:rFonts w:ascii="Cambria" w:hAnsi="Cambria"/>
          <w:u w:color="000000"/>
          <w:lang w:val="en-CA"/>
        </w:rPr>
        <w:t xml:space="preserve"> nets</w:t>
      </w:r>
      <w:r w:rsidR="00675BC2" w:rsidRPr="00932732">
        <w:rPr>
          <w:rFonts w:ascii="Cambria" w:hAnsi="Cambria"/>
          <w:u w:color="000000"/>
          <w:lang w:val="en-CA"/>
        </w:rPr>
        <w:t xml:space="preserve"> payés à l’étranger – des salaires versés aux travailleurs transfrontaliers, des dividendes et des intérêts payés à des investisseurs étrangers, des profits réinvestis par les multinationales européennes et américaines qui ont des fi</w:t>
      </w:r>
      <w:r w:rsidR="00291414" w:rsidRPr="00932732">
        <w:rPr>
          <w:rFonts w:ascii="Cambria" w:hAnsi="Cambria"/>
          <w:u w:color="000000"/>
          <w:lang w:val="en-CA"/>
        </w:rPr>
        <w:t>liales au Grand-Duché</w:t>
      </w:r>
      <w:r w:rsidR="005C5982" w:rsidRPr="00932732">
        <w:rPr>
          <w:rFonts w:ascii="Cambria" w:hAnsi="Cambria"/>
          <w:u w:color="000000"/>
          <w:lang w:val="en-CA"/>
        </w:rPr>
        <w:t>, nets de tous les revenus reçus du reste du monde. S</w:t>
      </w:r>
      <w:r w:rsidR="00291414" w:rsidRPr="00932732">
        <w:rPr>
          <w:rFonts w:ascii="Cambria" w:hAnsi="Cambria"/>
          <w:u w:color="000000"/>
          <w:lang w:val="en-CA"/>
        </w:rPr>
        <w:t xml:space="preserve">i bien </w:t>
      </w:r>
      <w:r w:rsidR="005C5982" w:rsidRPr="00932732">
        <w:rPr>
          <w:rFonts w:ascii="Cambria" w:hAnsi="Cambria"/>
          <w:u w:color="000000"/>
          <w:lang w:val="en-CA"/>
        </w:rPr>
        <w:t>que</w:t>
      </w:r>
      <w:r w:rsidR="00291414" w:rsidRPr="00932732">
        <w:rPr>
          <w:rFonts w:ascii="Cambria" w:hAnsi="Cambria"/>
          <w:u w:color="000000"/>
          <w:lang w:val="en-CA"/>
        </w:rPr>
        <w:t xml:space="preserve"> le revenu national (= produit intérieur net – revenus nets versés à l’étranger) </w:t>
      </w:r>
      <w:r w:rsidR="005C5982" w:rsidRPr="00932732">
        <w:rPr>
          <w:rFonts w:ascii="Cambria" w:hAnsi="Cambria"/>
          <w:u w:color="000000"/>
          <w:lang w:val="en-CA"/>
        </w:rPr>
        <w:t>ne s’élève qu’à</w:t>
      </w:r>
      <w:r w:rsidR="00291414" w:rsidRPr="00932732">
        <w:rPr>
          <w:rFonts w:ascii="Cambria" w:hAnsi="Cambria"/>
          <w:u w:color="000000"/>
          <w:lang w:val="en-CA"/>
        </w:rPr>
        <w:t xml:space="preserve"> 27 milliards d’euros à</w:t>
      </w:r>
      <w:r w:rsidR="00A76E19" w:rsidRPr="00932732">
        <w:rPr>
          <w:rFonts w:ascii="Cambria" w:hAnsi="Cambria"/>
          <w:u w:color="000000"/>
          <w:lang w:val="en-CA"/>
        </w:rPr>
        <w:t xml:space="preserve"> peine (tableau LU1, colonne 1). Soi</w:t>
      </w:r>
      <w:r w:rsidR="00004273" w:rsidRPr="00932732">
        <w:rPr>
          <w:rFonts w:ascii="Cambria" w:hAnsi="Cambria"/>
          <w:u w:color="000000"/>
          <w:lang w:val="en-CA"/>
        </w:rPr>
        <w:t>t 68 % du produit intérieur net</w:t>
      </w:r>
      <w:r w:rsidR="00291414" w:rsidRPr="00932732">
        <w:rPr>
          <w:rFonts w:ascii="Cambria" w:hAnsi="Cambria"/>
          <w:u w:color="000000"/>
          <w:lang w:val="en-CA"/>
        </w:rPr>
        <w:t>.</w:t>
      </w:r>
      <w:r w:rsidR="005A7E30" w:rsidRPr="00932732">
        <w:rPr>
          <w:rFonts w:ascii="Cambria" w:hAnsi="Cambria"/>
          <w:u w:color="000000"/>
          <w:lang w:val="en-CA"/>
        </w:rPr>
        <w:t xml:space="preserve"> Comme le montre le tableau</w:t>
      </w:r>
      <w:r w:rsidR="005C5982" w:rsidRPr="00932732">
        <w:rPr>
          <w:rFonts w:ascii="Cambria" w:hAnsi="Cambria"/>
          <w:u w:color="000000"/>
          <w:lang w:val="en-CA"/>
        </w:rPr>
        <w:t xml:space="preserve"> LU1</w:t>
      </w:r>
      <w:r w:rsidR="005A7E30" w:rsidRPr="00932732">
        <w:rPr>
          <w:rFonts w:ascii="Cambria" w:hAnsi="Cambria"/>
          <w:u w:color="000000"/>
          <w:lang w:val="en-CA"/>
        </w:rPr>
        <w:t>, la dynamique</w:t>
      </w:r>
      <w:r w:rsidR="00004273" w:rsidRPr="00932732">
        <w:rPr>
          <w:rFonts w:ascii="Cambria" w:hAnsi="Cambria"/>
          <w:u w:color="000000"/>
          <w:lang w:val="en-CA"/>
        </w:rPr>
        <w:t xml:space="preserve"> des paiements nets au reste du monde</w:t>
      </w:r>
      <w:r w:rsidR="005A7E30" w:rsidRPr="00932732">
        <w:rPr>
          <w:rFonts w:ascii="Cambria" w:hAnsi="Cambria"/>
          <w:u w:color="000000"/>
          <w:lang w:val="en-CA"/>
        </w:rPr>
        <w:t xml:space="preserve"> est explosive : en 1995 les revenus nets versés à l’étranger ne représentaient que 9 % du revenu national, contre 46 % en 2012. Il s’agit aujourd’hui pour moitié de salaires payés aux travailleurs transfrontaliers et pour moitié de revenus du capital</w:t>
      </w:r>
      <w:r w:rsidR="005C5982" w:rsidRPr="00932732">
        <w:rPr>
          <w:rFonts w:ascii="Cambria" w:hAnsi="Cambria"/>
          <w:u w:color="000000"/>
          <w:lang w:val="en-CA"/>
        </w:rPr>
        <w:t xml:space="preserve"> versés aux investisseurs étrangers</w:t>
      </w:r>
      <w:r w:rsidR="00EC6B59" w:rsidRPr="00932732">
        <w:rPr>
          <w:rFonts w:ascii="Cambria" w:hAnsi="Cambria"/>
          <w:u w:color="000000"/>
          <w:lang w:val="en-CA"/>
        </w:rPr>
        <w:t>.</w:t>
      </w:r>
      <w:r w:rsidR="00EC6B59" w:rsidRPr="00932732">
        <w:rPr>
          <w:rStyle w:val="FootnoteReference"/>
          <w:rFonts w:ascii="Cambria" w:hAnsi="Cambria"/>
          <w:u w:color="000000"/>
          <w:lang w:val="en-CA"/>
        </w:rPr>
        <w:footnoteReference w:id="1"/>
      </w:r>
      <w:r w:rsidR="00726F47" w:rsidRPr="00932732">
        <w:rPr>
          <w:rFonts w:ascii="Cambria" w:hAnsi="Cambria"/>
          <w:u w:color="000000"/>
          <w:lang w:val="en-CA"/>
        </w:rPr>
        <w:t xml:space="preserve"> Comme le montre le tableau LU2, il y a environ 150 000 travailleurs transfrontaliers au Luxembourg en 2013 (col. 6), soit environ 40 % du nombre de personnes travaillant au Grand Duché.</w:t>
      </w:r>
    </w:p>
    <w:p w14:paraId="57766B78" w14:textId="77777777" w:rsidR="00CE08C1" w:rsidRPr="00932732" w:rsidRDefault="00CE08C1" w:rsidP="00352489">
      <w:pPr>
        <w:jc w:val="both"/>
        <w:rPr>
          <w:rFonts w:ascii="Cambria" w:hAnsi="Cambria"/>
          <w:u w:color="000000"/>
          <w:lang w:val="en-CA"/>
        </w:rPr>
      </w:pPr>
    </w:p>
    <w:p w14:paraId="7505CA76" w14:textId="3B52460C" w:rsidR="00CE08C1" w:rsidRPr="00932732" w:rsidRDefault="00004273" w:rsidP="00352489">
      <w:pPr>
        <w:jc w:val="both"/>
        <w:rPr>
          <w:rFonts w:ascii="Cambria" w:hAnsi="Cambria"/>
          <w:u w:color="000000"/>
          <w:lang w:val="en-CA"/>
        </w:rPr>
      </w:pPr>
      <w:r w:rsidRPr="00932732">
        <w:rPr>
          <w:rFonts w:ascii="Cambria" w:hAnsi="Cambria"/>
          <w:u w:color="000000"/>
          <w:lang w:val="en-CA"/>
        </w:rPr>
        <w:t>Avec un ratio revenu national / produit intérieur de seulement 68 %, le Luxembourg est le pays du monde qui verse le plus de revenus primaires à l’étranger</w:t>
      </w:r>
      <w:r w:rsidR="005C5982" w:rsidRPr="00932732">
        <w:rPr>
          <w:rFonts w:ascii="Cambria" w:hAnsi="Cambria"/>
          <w:u w:color="000000"/>
          <w:lang w:val="en-CA"/>
        </w:rPr>
        <w:t>, exception faite de Puerto Rico</w:t>
      </w:r>
      <w:r w:rsidR="00FF3490" w:rsidRPr="00932732">
        <w:rPr>
          <w:rFonts w:ascii="Cambria" w:hAnsi="Cambria"/>
          <w:u w:color="000000"/>
          <w:lang w:val="en-CA"/>
        </w:rPr>
        <w:t xml:space="preserve"> (66 %) et de la Guinée équatoriale (64 %)</w:t>
      </w:r>
      <w:r w:rsidR="005C5982" w:rsidRPr="00932732">
        <w:rPr>
          <w:rFonts w:ascii="Cambria" w:hAnsi="Cambria"/>
          <w:u w:color="000000"/>
          <w:lang w:val="en-CA"/>
        </w:rPr>
        <w:t>. Ce constat se fonde sur les séries publiées par la Banque mondiale sur le PIB d’une part et le revenu national brut de l’autre, telles que publiées dans la base de données Wor</w:t>
      </w:r>
      <w:r w:rsidR="00FF3490" w:rsidRPr="00932732">
        <w:rPr>
          <w:rFonts w:ascii="Cambria" w:hAnsi="Cambria"/>
          <w:u w:color="000000"/>
          <w:lang w:val="en-CA"/>
        </w:rPr>
        <w:t>ld Development Indicator (WDI), et reproduites dans le fichier AnnexeGenerale.xlsx</w:t>
      </w:r>
    </w:p>
    <w:p w14:paraId="1A19DFCF" w14:textId="77777777" w:rsidR="00DB03BB" w:rsidRPr="00932732" w:rsidRDefault="00DB03BB" w:rsidP="00352489">
      <w:pPr>
        <w:jc w:val="both"/>
        <w:rPr>
          <w:rFonts w:ascii="Cambria" w:hAnsi="Cambria"/>
          <w:u w:color="000000"/>
          <w:lang w:val="en-CA"/>
        </w:rPr>
      </w:pPr>
    </w:p>
    <w:p w14:paraId="3AC90E58" w14:textId="75DCE6EC" w:rsidR="00352489" w:rsidRPr="00932732" w:rsidRDefault="00AA6B81" w:rsidP="00352489">
      <w:pPr>
        <w:jc w:val="both"/>
        <w:rPr>
          <w:rFonts w:ascii="Cambria" w:hAnsi="Cambria" w:cs="Lucida Grande"/>
          <w:color w:val="000000"/>
          <w:lang w:val="en-CA"/>
        </w:rPr>
      </w:pPr>
      <w:r w:rsidRPr="00932732">
        <w:rPr>
          <w:rFonts w:ascii="Cambria" w:hAnsi="Cambria"/>
          <w:u w:color="000000"/>
          <w:lang w:val="en-CA"/>
        </w:rPr>
        <w:t>Porto Rico est une colonie américaine (officiellement un “unincorporated territory of the U.S.”) des Caraïbes. D’après les comptes nationaux de Porto Rico, la part du capital dans le PIB est de 65 % et la part du travail 35 %</w:t>
      </w:r>
      <w:r w:rsidR="00352489" w:rsidRPr="00932732">
        <w:rPr>
          <w:rFonts w:ascii="Cambria" w:hAnsi="Cambria"/>
          <w:u w:color="000000"/>
          <w:lang w:val="en-CA"/>
        </w:rPr>
        <w:t xml:space="preserve"> (</w:t>
      </w:r>
      <w:r w:rsidRPr="00932732">
        <w:rPr>
          <w:rFonts w:ascii="Cambria" w:hAnsi="Cambria" w:cs="Baskerville"/>
          <w:lang w:val="en-CA" w:eastAsia="ja-JP"/>
        </w:rPr>
        <w:t xml:space="preserve">voir </w:t>
      </w:r>
      <w:r w:rsidR="00352489" w:rsidRPr="00932732">
        <w:rPr>
          <w:rFonts w:ascii="Cambria" w:hAnsi="Cambria" w:cs="Baskerville"/>
          <w:lang w:val="en-CA" w:eastAsia="ja-JP"/>
        </w:rPr>
        <w:t>Economic Report to the Governor, 2012, Table 11, p. A22).</w:t>
      </w:r>
      <w:r w:rsidRPr="00932732">
        <w:rPr>
          <w:rFonts w:ascii="Cambria" w:hAnsi="Cambria" w:cs="Baskerville"/>
          <w:lang w:val="en-CA" w:eastAsia="ja-JP"/>
        </w:rPr>
        <w:t xml:space="preserve"> La part du capital est artificiellement gonflée par les manipulations des multinationales (notamment pharmaceutiques) qui font apparaître leurs profits dans l’Archipel. L’essentiel du capital est possédé par des étrangers (au premier chef américains), si bien que Porto Rico paye 40 % de son revenu domestique au reste du monde. Le salaire moyen y est néanmoins élevé par rapport aux autres pays des Caraïbes, de l’ordre de 25 000 dollars.</w:t>
      </w:r>
      <w:r w:rsidRPr="00932732">
        <w:rPr>
          <w:rStyle w:val="FootnoteReference"/>
          <w:rFonts w:ascii="Cambria" w:hAnsi="Cambria"/>
          <w:lang w:val="en-CA" w:eastAsia="ja-JP"/>
        </w:rPr>
        <w:footnoteReference w:id="2"/>
      </w:r>
      <w:r w:rsidRPr="00932732">
        <w:rPr>
          <w:rFonts w:ascii="Cambria" w:hAnsi="Cambria" w:cs="Baskerville"/>
          <w:lang w:val="en-CA" w:eastAsia="ja-JP"/>
        </w:rPr>
        <w:t xml:space="preserve"> </w:t>
      </w:r>
    </w:p>
    <w:p w14:paraId="4E38104C" w14:textId="77777777" w:rsidR="00352489" w:rsidRPr="00932732" w:rsidRDefault="00352489" w:rsidP="00352489">
      <w:pPr>
        <w:jc w:val="both"/>
        <w:rPr>
          <w:rFonts w:ascii="Cambria" w:hAnsi="Cambria" w:cs="Baskerville"/>
          <w:lang w:val="en-CA" w:eastAsia="ja-JP"/>
        </w:rPr>
      </w:pPr>
    </w:p>
    <w:p w14:paraId="6C23F777" w14:textId="4A186A5C" w:rsidR="0063205E" w:rsidRPr="00932732" w:rsidRDefault="0063205E" w:rsidP="00352489">
      <w:pPr>
        <w:jc w:val="both"/>
        <w:rPr>
          <w:rFonts w:ascii="Cambria" w:hAnsi="Cambria" w:cs="Baskerville"/>
          <w:lang w:val="en-CA" w:eastAsia="ja-JP"/>
        </w:rPr>
      </w:pPr>
      <w:r w:rsidRPr="00932732">
        <w:rPr>
          <w:rFonts w:ascii="Cambria" w:hAnsi="Cambria" w:cs="Baskerville"/>
          <w:lang w:val="en-CA" w:eastAsia="ja-JP"/>
        </w:rPr>
        <w:t xml:space="preserve">En ce qui concerne la Guinée équatoriale, la part du capital est sans doute très élevée aussi, et il est possible qu’une grosse partie du stock de capital soit possédé par des étrangers. Mais le plus probable est que le ratio PNB/PIB enregistré par la Banque mondiale est trop bas en raison d’erreurs de mesure et de la faible qualité des données de comptabilité nationale guinéennes. </w:t>
      </w:r>
    </w:p>
    <w:p w14:paraId="203DE9CB" w14:textId="77777777" w:rsidR="00BC3C9B" w:rsidRPr="00932732" w:rsidRDefault="00BC3C9B" w:rsidP="00352489">
      <w:pPr>
        <w:jc w:val="both"/>
        <w:rPr>
          <w:rFonts w:ascii="Cambria" w:hAnsi="Cambria" w:cs="Baskerville"/>
          <w:lang w:val="en-CA" w:eastAsia="ja-JP"/>
        </w:rPr>
      </w:pPr>
    </w:p>
    <w:p w14:paraId="3CAA1400" w14:textId="2E8C1D3A" w:rsidR="00BC3C9B" w:rsidRPr="00932732" w:rsidRDefault="00726F47" w:rsidP="00BC3C9B">
      <w:pPr>
        <w:rPr>
          <w:rFonts w:ascii="Cambria" w:hAnsi="Cambria"/>
          <w:lang w:val="en-CA"/>
        </w:rPr>
      </w:pPr>
      <w:r w:rsidRPr="00932732">
        <w:rPr>
          <w:rFonts w:ascii="Cambria" w:hAnsi="Cambria"/>
          <w:u w:color="000000"/>
          <w:lang w:val="en-CA"/>
        </w:rPr>
        <w:t>Autre r</w:t>
      </w:r>
      <w:r w:rsidR="00B031B6" w:rsidRPr="00932732">
        <w:rPr>
          <w:rFonts w:ascii="Cambria" w:hAnsi="Cambria"/>
          <w:u w:color="000000"/>
          <w:lang w:val="en-CA"/>
        </w:rPr>
        <w:t>emarque sur les données de comptabilité nationale luxembourgeoises : s</w:t>
      </w:r>
      <w:r w:rsidR="00BC3C9B" w:rsidRPr="00932732">
        <w:rPr>
          <w:rFonts w:ascii="Cambria" w:hAnsi="Cambria"/>
          <w:u w:color="000000"/>
          <w:lang w:val="en-CA"/>
        </w:rPr>
        <w:t>i l’on divise le PIB par la population résidant au Luxembourg, comme le font la plupart des organismes statistiques internationaux, le Grand-Duché affiche une croissance époustouflante : 3 % en moyenne par an depuis 1970, là où aucun grand pays développé n’a fait mieux que 2 % l’an. Mais cette division, qui inclut les transfrontaliers au numérateur mais les exclut du dénominateur, n’a aucun sens.</w:t>
      </w:r>
      <w:r w:rsidR="00B031B6" w:rsidRPr="00932732">
        <w:rPr>
          <w:rFonts w:ascii="Cambria" w:hAnsi="Cambria"/>
          <w:u w:color="000000"/>
          <w:lang w:val="en-CA"/>
        </w:rPr>
        <w:t xml:space="preserve"> Le calcul correct divise le PIB par la population employée au Luxembourg</w:t>
      </w:r>
      <w:r w:rsidRPr="00932732">
        <w:rPr>
          <w:rFonts w:ascii="Cambria" w:hAnsi="Cambria"/>
          <w:u w:color="000000"/>
          <w:lang w:val="en-CA"/>
        </w:rPr>
        <w:t xml:space="preserve"> (ce qui inclut les transfrontaliers au numérateur et au dénominateur). </w:t>
      </w:r>
      <w:r w:rsidR="00B031B6" w:rsidRPr="00932732">
        <w:rPr>
          <w:rFonts w:ascii="Cambria" w:hAnsi="Cambria"/>
          <w:u w:color="000000"/>
          <w:lang w:val="en-CA"/>
        </w:rPr>
        <w:t>, auquel cas la croissance luxembourgeoise n’a rien d’exceptionnel, et au contraire fait pâle figure</w:t>
      </w:r>
    </w:p>
    <w:p w14:paraId="023EC221" w14:textId="77777777" w:rsidR="00BC3C9B" w:rsidRPr="00932732" w:rsidRDefault="00BC3C9B" w:rsidP="00352489">
      <w:pPr>
        <w:jc w:val="both"/>
        <w:rPr>
          <w:rFonts w:ascii="Cambria" w:hAnsi="Cambria" w:cs="Baskerville"/>
          <w:lang w:val="en-CA" w:eastAsia="ja-JP"/>
        </w:rPr>
      </w:pPr>
    </w:p>
    <w:p w14:paraId="42DF6CCF" w14:textId="55BEA2ED" w:rsidR="001E7E61" w:rsidRPr="00932732" w:rsidRDefault="00A12DCD" w:rsidP="00F71821">
      <w:pPr>
        <w:pStyle w:val="Heading2"/>
        <w:rPr>
          <w:rFonts w:ascii="Cambria" w:hAnsi="Cambria"/>
          <w:lang w:val="en-CA" w:eastAsia="ja-JP"/>
        </w:rPr>
      </w:pPr>
      <w:bookmarkStart w:id="16" w:name="_Toc430261430"/>
      <w:r w:rsidRPr="00932732">
        <w:rPr>
          <w:rFonts w:ascii="Cambria" w:hAnsi="Cambria"/>
          <w:lang w:val="en-CA" w:eastAsia="ja-JP"/>
        </w:rPr>
        <w:t>S</w:t>
      </w:r>
      <w:r w:rsidR="00D05957" w:rsidRPr="00932732">
        <w:rPr>
          <w:rFonts w:ascii="Cambria" w:hAnsi="Cambria"/>
          <w:lang w:val="en-CA" w:eastAsia="ja-JP"/>
        </w:rPr>
        <w:t>upplementary Data on Luxembourg</w:t>
      </w:r>
      <w:bookmarkEnd w:id="16"/>
      <w:r w:rsidR="001E7E61" w:rsidRPr="00932732">
        <w:rPr>
          <w:rFonts w:ascii="Cambria" w:hAnsi="Cambria"/>
          <w:lang w:val="en-CA" w:eastAsia="ja-JP"/>
        </w:rPr>
        <w:t xml:space="preserve"> </w:t>
      </w:r>
    </w:p>
    <w:p w14:paraId="4AE2BA09" w14:textId="77777777" w:rsidR="00352489" w:rsidRPr="00932732" w:rsidRDefault="00352489" w:rsidP="00352489">
      <w:pPr>
        <w:jc w:val="both"/>
        <w:rPr>
          <w:rFonts w:ascii="Cambria" w:hAnsi="Cambria" w:cs="Baskerville"/>
          <w:lang w:val="en-CA" w:eastAsia="ja-JP"/>
        </w:rPr>
      </w:pPr>
    </w:p>
    <w:p w14:paraId="7707B8AB" w14:textId="77777777" w:rsidR="00352489"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Inequalities (evolution of gap between top and bottom decile since mid-1980s):  OECD (2012), Economic Surveys of Luxembourg, Dec. 2012, Figure 1.2 p. 42</w:t>
      </w:r>
    </w:p>
    <w:p w14:paraId="7E446A4F" w14:textId="77777777" w:rsidR="00352489" w:rsidRPr="00932732" w:rsidRDefault="00352489" w:rsidP="00352489">
      <w:pPr>
        <w:jc w:val="both"/>
        <w:rPr>
          <w:rFonts w:ascii="Cambria" w:hAnsi="Cambria" w:cs="Baskerville"/>
          <w:lang w:val="en-CA" w:eastAsia="ja-JP"/>
        </w:rPr>
      </w:pPr>
    </w:p>
    <w:p w14:paraId="21AF5203" w14:textId="77777777" w:rsidR="00352489"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Educational achievement (PISA): OECD (2012), Economic Surveys of Luxembourg, Dec. 2012, Figure 6 p. 25</w:t>
      </w:r>
    </w:p>
    <w:p w14:paraId="5DE9F390" w14:textId="77777777" w:rsidR="00352489" w:rsidRPr="00932732" w:rsidRDefault="00352489" w:rsidP="00352489">
      <w:pPr>
        <w:jc w:val="both"/>
        <w:rPr>
          <w:rFonts w:ascii="Cambria" w:hAnsi="Cambria" w:cs="Baskerville"/>
          <w:lang w:val="en-CA" w:eastAsia="ja-JP"/>
        </w:rPr>
      </w:pPr>
    </w:p>
    <w:p w14:paraId="7331B72C" w14:textId="77777777" w:rsidR="00352489"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Housing prices: Educational achievement: OECD (2012), Economic Surveys of Luxembourg, Dec. 2012, p. 86</w:t>
      </w:r>
    </w:p>
    <w:p w14:paraId="554D0759" w14:textId="77777777" w:rsidR="00352489" w:rsidRPr="00932732" w:rsidRDefault="00352489" w:rsidP="00352489">
      <w:pPr>
        <w:jc w:val="both"/>
        <w:rPr>
          <w:rFonts w:ascii="Cambria" w:hAnsi="Cambria" w:cs="Baskerville"/>
          <w:lang w:val="en-CA" w:eastAsia="ja-JP"/>
        </w:rPr>
      </w:pPr>
    </w:p>
    <w:p w14:paraId="071FBE9F" w14:textId="77777777" w:rsidR="00352489"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Diesel and petrol prices and taxes: Educational achievement: OECD (2012), Economic Surveys of Luxembourg, Dec. 2012, Figure 2.5 p. 73.</w:t>
      </w:r>
    </w:p>
    <w:p w14:paraId="67E092B5" w14:textId="77777777" w:rsidR="00352489" w:rsidRPr="00932732" w:rsidRDefault="00352489" w:rsidP="00352489">
      <w:pPr>
        <w:jc w:val="both"/>
        <w:rPr>
          <w:rFonts w:ascii="Cambria" w:hAnsi="Cambria" w:cs="Baskerville"/>
          <w:lang w:val="en-CA" w:eastAsia="ja-JP"/>
        </w:rPr>
      </w:pPr>
    </w:p>
    <w:p w14:paraId="72B6B9FE" w14:textId="77777777" w:rsidR="00807A87"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 xml:space="preserve">Political institutions: </w:t>
      </w:r>
    </w:p>
    <w:p w14:paraId="2D690565" w14:textId="670A4D31" w:rsidR="00352489"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http://www.luxembourg.public.lu/fr/politique/institutions-politiques/index.html</w:t>
      </w:r>
    </w:p>
    <w:p w14:paraId="795C5E17" w14:textId="77777777" w:rsidR="00352489" w:rsidRPr="00932732" w:rsidRDefault="00352489" w:rsidP="00352489">
      <w:pPr>
        <w:jc w:val="both"/>
        <w:rPr>
          <w:rFonts w:ascii="Cambria" w:hAnsi="Cambria" w:cs="Baskerville"/>
          <w:lang w:val="en-CA" w:eastAsia="ja-JP"/>
        </w:rPr>
      </w:pPr>
    </w:p>
    <w:p w14:paraId="67929376" w14:textId="77777777" w:rsidR="00352489"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Mahta &amp; co-authors (2012) present the results of the Luxembourg wealth survey. They find an average wealth per household of 732,000 euros in 2010 (Table 10). Average household size is 2.48 so average wealth per resident is about 295,000 euros. Given that national income per resident was 44,000 € in 2010 (see Table LU3), the private wealth/national income ratio is about 670%, which is comparable to Italy, the country with the highest wealth-income ratio in Piketty-Zucman (2013).</w:t>
      </w:r>
    </w:p>
    <w:p w14:paraId="358FA775" w14:textId="77777777" w:rsidR="00352489" w:rsidRPr="00932732" w:rsidRDefault="00352489" w:rsidP="00352489">
      <w:pPr>
        <w:jc w:val="both"/>
        <w:rPr>
          <w:rFonts w:ascii="Cambria" w:hAnsi="Cambria" w:cs="Baskerville"/>
          <w:lang w:val="en-CA" w:eastAsia="ja-JP"/>
        </w:rPr>
      </w:pPr>
    </w:p>
    <w:p w14:paraId="53D1BFB9" w14:textId="44B517B6" w:rsidR="00352489" w:rsidRPr="00932732" w:rsidRDefault="00F71821" w:rsidP="00352489">
      <w:pPr>
        <w:jc w:val="both"/>
        <w:rPr>
          <w:rFonts w:ascii="Cambria" w:hAnsi="Cambria" w:cs="Baskerville"/>
          <w:lang w:val="en-CA" w:eastAsia="ja-JP"/>
        </w:rPr>
      </w:pPr>
      <w:r w:rsidRPr="00932732">
        <w:rPr>
          <w:rFonts w:ascii="Cambria" w:hAnsi="Cambria" w:cs="Baskerville"/>
          <w:lang w:val="en-CA" w:eastAsia="ja-JP"/>
        </w:rPr>
        <w:t xml:space="preserve">Memo : </w:t>
      </w:r>
      <w:r w:rsidR="00352489" w:rsidRPr="00932732">
        <w:rPr>
          <w:rFonts w:ascii="Cambria" w:hAnsi="Cambria" w:cs="Baskerville"/>
          <w:lang w:val="en-CA" w:eastAsia="ja-JP"/>
        </w:rPr>
        <w:t xml:space="preserve">Share of financial industry in Swiss GDP (11% of GDP) = Swiss National Accounts </w:t>
      </w:r>
    </w:p>
    <w:p w14:paraId="30B4EC62" w14:textId="77777777" w:rsidR="00352489" w:rsidRPr="00932732" w:rsidRDefault="00352489" w:rsidP="00352489">
      <w:pPr>
        <w:jc w:val="both"/>
        <w:rPr>
          <w:rFonts w:ascii="Cambria" w:hAnsi="Cambria" w:cs="Baskerville"/>
          <w:lang w:val="en-CA" w:eastAsia="ja-JP"/>
        </w:rPr>
      </w:pPr>
      <w:r w:rsidRPr="00932732">
        <w:rPr>
          <w:rFonts w:ascii="Cambria" w:hAnsi="Cambria" w:cs="Baskerville"/>
          <w:lang w:val="en-CA" w:eastAsia="ja-JP"/>
        </w:rPr>
        <w:t>Commission income earned by Swiss banks (about 4% of GDP) = Banks in Switzerland  Table 40.</w:t>
      </w:r>
    </w:p>
    <w:p w14:paraId="27DD2CB7" w14:textId="77777777" w:rsidR="00352489" w:rsidRPr="00932732" w:rsidRDefault="00352489" w:rsidP="00352489">
      <w:pPr>
        <w:jc w:val="both"/>
        <w:rPr>
          <w:rFonts w:ascii="Cambria" w:hAnsi="Cambria" w:cs="Baskerville"/>
          <w:lang w:val="en-CA" w:eastAsia="ja-JP"/>
        </w:rPr>
      </w:pPr>
    </w:p>
    <w:p w14:paraId="6B093C66" w14:textId="77777777" w:rsidR="00352489" w:rsidRPr="00932732" w:rsidRDefault="00352489" w:rsidP="00352489">
      <w:pPr>
        <w:jc w:val="both"/>
        <w:rPr>
          <w:rFonts w:ascii="Cambria" w:hAnsi="Cambria" w:cs="Baskerville"/>
          <w:lang w:val="en-CA" w:eastAsia="ja-JP"/>
        </w:rPr>
      </w:pPr>
    </w:p>
    <w:p w14:paraId="7D70AD6B" w14:textId="77777777" w:rsidR="00352489" w:rsidRPr="00932732" w:rsidRDefault="00352489" w:rsidP="00352489">
      <w:pPr>
        <w:jc w:val="both"/>
        <w:rPr>
          <w:rFonts w:ascii="Cambria" w:hAnsi="Cambria" w:cs="Baskerville"/>
          <w:lang w:val="en-CA" w:eastAsia="ja-JP"/>
        </w:rPr>
      </w:pPr>
    </w:p>
    <w:p w14:paraId="66B9D21D" w14:textId="77777777" w:rsidR="00352489" w:rsidRPr="00932732" w:rsidRDefault="00352489" w:rsidP="00352489">
      <w:pPr>
        <w:jc w:val="both"/>
        <w:rPr>
          <w:rFonts w:ascii="Cambria" w:hAnsi="Cambria" w:cs="Baskerville"/>
          <w:lang w:val="en-CA" w:eastAsia="ja-JP"/>
        </w:rPr>
      </w:pPr>
    </w:p>
    <w:p w14:paraId="01BE8046" w14:textId="77777777" w:rsidR="00352489" w:rsidRPr="00932732" w:rsidRDefault="00352489" w:rsidP="00352489">
      <w:pPr>
        <w:jc w:val="both"/>
        <w:rPr>
          <w:rFonts w:ascii="Cambria" w:hAnsi="Cambria" w:cs="Baskerville"/>
          <w:lang w:val="en-CA" w:eastAsia="ja-JP"/>
        </w:rPr>
      </w:pPr>
    </w:p>
    <w:p w14:paraId="7F2842AA" w14:textId="3C64740A" w:rsidR="00B71A39" w:rsidRPr="00932732" w:rsidRDefault="00B71A39">
      <w:pPr>
        <w:spacing w:line="240" w:lineRule="auto"/>
        <w:rPr>
          <w:rFonts w:ascii="Cambria" w:hAnsi="Cambria" w:cs="Baskerville"/>
          <w:lang w:val="en-CA" w:eastAsia="ja-JP"/>
        </w:rPr>
      </w:pPr>
      <w:r w:rsidRPr="00932732">
        <w:rPr>
          <w:rFonts w:ascii="Cambria" w:hAnsi="Cambria" w:cs="Baskerville"/>
          <w:lang w:val="en-CA" w:eastAsia="ja-JP"/>
        </w:rPr>
        <w:br w:type="page"/>
      </w:r>
    </w:p>
    <w:p w14:paraId="74C4724E" w14:textId="77777777" w:rsidR="004E5F2D" w:rsidRPr="00932732" w:rsidRDefault="004E5F2D" w:rsidP="004E5F2D">
      <w:pPr>
        <w:jc w:val="both"/>
        <w:rPr>
          <w:rFonts w:ascii="Cambria" w:hAnsi="Cambria" w:cs="Baskerville"/>
          <w:lang w:val="en-CA" w:eastAsia="ja-JP"/>
        </w:rPr>
      </w:pPr>
    </w:p>
    <w:p w14:paraId="4900BB32" w14:textId="3C1A3A44" w:rsidR="004E5F2D" w:rsidRPr="00932732" w:rsidRDefault="004E5F2D" w:rsidP="004E5F2D">
      <w:pPr>
        <w:pStyle w:val="Heading1"/>
        <w:jc w:val="center"/>
        <w:rPr>
          <w:rFonts w:ascii="Cambria" w:hAnsi="Cambria"/>
          <w:lang w:val="en-CA" w:eastAsia="ja-JP"/>
        </w:rPr>
      </w:pPr>
      <w:bookmarkStart w:id="17" w:name="_Toc430261431"/>
      <w:r w:rsidRPr="00932732">
        <w:rPr>
          <w:rFonts w:ascii="Cambria" w:hAnsi="Cambria"/>
          <w:lang w:val="en-CA" w:eastAsia="ja-JP"/>
        </w:rPr>
        <w:t>Errata</w:t>
      </w:r>
      <w:bookmarkEnd w:id="17"/>
    </w:p>
    <w:p w14:paraId="19704B21" w14:textId="77777777" w:rsidR="00AB38F4" w:rsidRPr="00932732" w:rsidRDefault="00AB38F4" w:rsidP="004E5F2D">
      <w:pPr>
        <w:jc w:val="both"/>
        <w:rPr>
          <w:rFonts w:ascii="Cambria" w:hAnsi="Cambria" w:cs="Baskerville"/>
          <w:lang w:val="en-CA" w:eastAsia="ja-JP"/>
        </w:rPr>
      </w:pPr>
    </w:p>
    <w:p w14:paraId="3D99FEE9" w14:textId="0D7D402F" w:rsidR="004E5629" w:rsidRPr="00932732" w:rsidRDefault="00AB38F4" w:rsidP="004E5F2D">
      <w:pPr>
        <w:jc w:val="both"/>
        <w:rPr>
          <w:rFonts w:ascii="Cambria" w:hAnsi="Cambria" w:cs="Baskerville"/>
          <w:lang w:val="en-CA" w:eastAsia="ja-JP"/>
        </w:rPr>
      </w:pPr>
      <w:r w:rsidRPr="00932732">
        <w:rPr>
          <w:rFonts w:ascii="Cambria" w:hAnsi="Cambria" w:cs="Baskerville"/>
          <w:lang w:val="en-CA" w:eastAsia="ja-JP"/>
        </w:rPr>
        <w:t xml:space="preserve">Ces errata font référence à l’édition </w:t>
      </w:r>
      <w:r w:rsidR="00D05957" w:rsidRPr="00932732">
        <w:rPr>
          <w:rFonts w:ascii="Cambria" w:hAnsi="Cambria" w:cs="Baskerville"/>
          <w:lang w:val="en-CA" w:eastAsia="ja-JP"/>
        </w:rPr>
        <w:t xml:space="preserve">française </w:t>
      </w:r>
      <w:r w:rsidRPr="00932732">
        <w:rPr>
          <w:rFonts w:ascii="Cambria" w:hAnsi="Cambria" w:cs="Baskerville"/>
          <w:lang w:val="en-CA" w:eastAsia="ja-JP"/>
        </w:rPr>
        <w:t>du 7 novembre 2013.</w:t>
      </w:r>
    </w:p>
    <w:p w14:paraId="1B0A4EC9" w14:textId="77777777" w:rsidR="00AB38F4" w:rsidRPr="00932732" w:rsidRDefault="00AB38F4" w:rsidP="004E5F2D">
      <w:pPr>
        <w:jc w:val="both"/>
        <w:rPr>
          <w:rFonts w:ascii="Cambria" w:hAnsi="Cambria" w:cs="Baskerville"/>
          <w:lang w:val="en-CA" w:eastAsia="ja-JP"/>
        </w:rPr>
      </w:pPr>
    </w:p>
    <w:p w14:paraId="7B0FFAC4" w14:textId="77777777" w:rsidR="004E5F2D" w:rsidRPr="00932732" w:rsidRDefault="004E5F2D" w:rsidP="004E5F2D">
      <w:pPr>
        <w:pStyle w:val="ListParagraph"/>
        <w:numPr>
          <w:ilvl w:val="0"/>
          <w:numId w:val="5"/>
        </w:numPr>
        <w:jc w:val="both"/>
        <w:rPr>
          <w:rFonts w:ascii="Cambria" w:hAnsi="Cambria" w:cs="Baskerville"/>
          <w:lang w:val="en-CA" w:eastAsia="ja-JP"/>
        </w:rPr>
      </w:pPr>
      <w:r w:rsidRPr="00932732">
        <w:rPr>
          <w:rFonts w:ascii="Cambria" w:hAnsi="Cambria" w:cs="Baskerville"/>
          <w:lang w:val="en-CA" w:eastAsia="ja-JP"/>
        </w:rPr>
        <w:t>Une virgule a été supprimée par erreur lors de la composition du livre, p. 9 : « </w:t>
      </w:r>
      <w:r w:rsidRPr="00932732">
        <w:rPr>
          <w:rFonts w:ascii="Cambria" w:hAnsi="Cambria" w:cs="Baskerville"/>
          <w:color w:val="FF0000"/>
          <w:lang w:val="en-CA" w:eastAsia="ja-JP"/>
        </w:rPr>
        <w:t xml:space="preserve">Seul, </w:t>
      </w:r>
      <w:r w:rsidRPr="00932732">
        <w:rPr>
          <w:rFonts w:ascii="Cambria" w:hAnsi="Cambria" w:cs="Baskerville"/>
          <w:lang w:val="en-CA" w:eastAsia="ja-JP"/>
        </w:rPr>
        <w:t xml:space="preserve">l’échange international et automatisé de données risque de buter sur l’opacité financière ». </w:t>
      </w:r>
    </w:p>
    <w:p w14:paraId="2F1432D5" w14:textId="77777777" w:rsidR="004E5F2D" w:rsidRPr="00932732" w:rsidRDefault="004E5F2D" w:rsidP="004E5F2D">
      <w:pPr>
        <w:pStyle w:val="ListParagraph"/>
        <w:numPr>
          <w:ilvl w:val="0"/>
          <w:numId w:val="5"/>
        </w:numPr>
        <w:jc w:val="both"/>
        <w:rPr>
          <w:rFonts w:ascii="Cambria" w:hAnsi="Cambria" w:cs="Baskerville"/>
          <w:lang w:val="en-CA" w:eastAsia="ja-JP"/>
        </w:rPr>
      </w:pPr>
      <w:r w:rsidRPr="00932732">
        <w:rPr>
          <w:rFonts w:ascii="Cambria" w:hAnsi="Cambria" w:cs="Baskerville"/>
          <w:lang w:val="en-CA" w:eastAsia="ja-JP"/>
        </w:rPr>
        <w:t xml:space="preserve">P. 93 : « le Parti Chrétien social fournit le Premier ministre depuis la fin de la Seconde Guerre mondiale, à l’exception d’une brève période de cinq ans à la fin des années 1970, </w:t>
      </w:r>
      <w:r w:rsidRPr="00932732">
        <w:rPr>
          <w:rFonts w:ascii="Cambria" w:hAnsi="Cambria" w:cs="Baskerville"/>
          <w:color w:val="FF0000"/>
          <w:lang w:val="en-CA" w:eastAsia="ja-JP"/>
        </w:rPr>
        <w:t>et du premier ministre qui vient d’entrer en fonction en novembre 2013. </w:t>
      </w:r>
      <w:r w:rsidRPr="00932732">
        <w:rPr>
          <w:rFonts w:ascii="Cambria" w:hAnsi="Cambria" w:cs="Baskerville"/>
          <w:lang w:val="en-CA" w:eastAsia="ja-JP"/>
        </w:rPr>
        <w:t>»</w:t>
      </w:r>
    </w:p>
    <w:p w14:paraId="0E146279" w14:textId="03190348" w:rsidR="00D96A11" w:rsidRPr="00932732" w:rsidRDefault="00D96A11" w:rsidP="00174F0A">
      <w:pPr>
        <w:jc w:val="both"/>
        <w:rPr>
          <w:rFonts w:ascii="Cambria" w:hAnsi="Cambria" w:cs="Baskerville"/>
          <w:lang w:val="en-CA" w:eastAsia="ja-JP"/>
        </w:rPr>
      </w:pPr>
    </w:p>
    <w:sectPr w:rsidR="00D96A11" w:rsidRPr="00932732" w:rsidSect="00C919F1">
      <w:footerReference w:type="even" r:id="rId32"/>
      <w:footerReference w:type="default" r:id="rId3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290C" w14:textId="77777777" w:rsidR="006F314E" w:rsidRDefault="006F314E" w:rsidP="00C919F1">
      <w:pPr>
        <w:spacing w:line="240" w:lineRule="auto"/>
      </w:pPr>
      <w:r>
        <w:separator/>
      </w:r>
    </w:p>
  </w:endnote>
  <w:endnote w:type="continuationSeparator" w:id="0">
    <w:p w14:paraId="6986D715" w14:textId="77777777" w:rsidR="006F314E" w:rsidRDefault="006F314E" w:rsidP="00C91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F5C6" w14:textId="77777777" w:rsidR="009E4BC9" w:rsidRDefault="009E4BC9" w:rsidP="00C91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9674C" w14:textId="77777777" w:rsidR="009E4BC9" w:rsidRDefault="009E4BC9" w:rsidP="00C919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1479" w14:textId="77777777" w:rsidR="009E4BC9" w:rsidRDefault="009E4BC9" w:rsidP="00C91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14E">
      <w:rPr>
        <w:rStyle w:val="PageNumber"/>
        <w:noProof/>
      </w:rPr>
      <w:t>1</w:t>
    </w:r>
    <w:r>
      <w:rPr>
        <w:rStyle w:val="PageNumber"/>
      </w:rPr>
      <w:fldChar w:fldCharType="end"/>
    </w:r>
  </w:p>
  <w:p w14:paraId="6D12305C" w14:textId="77777777" w:rsidR="009E4BC9" w:rsidRDefault="009E4BC9" w:rsidP="00C919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6F453" w14:textId="77777777" w:rsidR="006F314E" w:rsidRDefault="006F314E" w:rsidP="00C919F1">
      <w:pPr>
        <w:spacing w:line="240" w:lineRule="auto"/>
      </w:pPr>
      <w:r>
        <w:separator/>
      </w:r>
    </w:p>
  </w:footnote>
  <w:footnote w:type="continuationSeparator" w:id="0">
    <w:p w14:paraId="35F94061" w14:textId="77777777" w:rsidR="006F314E" w:rsidRDefault="006F314E" w:rsidP="00C919F1">
      <w:pPr>
        <w:spacing w:line="240" w:lineRule="auto"/>
      </w:pPr>
      <w:r>
        <w:continuationSeparator/>
      </w:r>
    </w:p>
  </w:footnote>
  <w:footnote w:id="1">
    <w:p w14:paraId="00C2664D" w14:textId="2CB50E02" w:rsidR="009E4BC9" w:rsidRDefault="009E4BC9" w:rsidP="002D2B14">
      <w:pPr>
        <w:pStyle w:val="FootnoteText"/>
        <w:jc w:val="both"/>
      </w:pPr>
      <w:r>
        <w:rPr>
          <w:rStyle w:val="FootnoteReference"/>
        </w:rPr>
        <w:footnoteRef/>
      </w:r>
      <w:r>
        <w:t xml:space="preserve"> L’OCDE inclut les impôts sur la production (comme la TVA) versés à l’étranger dans son flux de revenus primaires nets versés à l’étranger. Les flux transfrontières d’impôt sur la production sont calculés dans la col. 7 du tableau LU1 comme le résidu des revenus primaires étrangers d’après l’OCDE (col. 3) et des revenus nets du capital et du travail payés à l’étrangers d’après Statec (colonnes 5 et 6). Ce résidu est faible dans les années récentes, mais assez fortement négatif dans les années 1990 et au début des années 2000. L’explication la plus probable est une mauvaise comptabilisation des revenus du capital de la part de Statec (qui semble reporter des revenus du capital net trop élevé de 1995 et 2003) ; mais il est possible également que l’estimation des flux de TVA internationaux implicites dans les calculs de l’OCDE soient erronés (compte tenu de la place jouée par le Luxembourg dans les montages de type carrousel, cela n’aurait rien d’étonnant). Que l’on regarde les données OCDE ou Statec, la conclusion de fond est cependant exactement même : le solde des revenus nets primaires versés au reste du monde est très fortement négatif aujourd’hui (près de 50 % du revenu national), et s’est détérioré de façon spectaculaire au cours des 15 dernières années.</w:t>
      </w:r>
    </w:p>
  </w:footnote>
  <w:footnote w:id="2">
    <w:p w14:paraId="3693E186" w14:textId="63C4CB1A" w:rsidR="009E4BC9" w:rsidRDefault="009E4BC9">
      <w:pPr>
        <w:pStyle w:val="FootnoteText"/>
      </w:pPr>
      <w:r>
        <w:rPr>
          <w:rStyle w:val="FootnoteReference"/>
        </w:rPr>
        <w:footnoteRef/>
      </w:r>
      <w:r>
        <w:t xml:space="preserve"> </w:t>
      </w:r>
      <w:r w:rsidRPr="00DE61F7">
        <w:rPr>
          <w:rFonts w:cs="Baskerville"/>
          <w:lang w:eastAsia="ja-JP"/>
        </w:rPr>
        <w:t>(total wage bill</w:t>
      </w:r>
      <w:r>
        <w:rPr>
          <w:rFonts w:cs="Baskerville"/>
          <w:lang w:eastAsia="ja-JP"/>
        </w:rPr>
        <w:t xml:space="preserve"> =$ 25,000mn</w:t>
      </w:r>
      <w:r w:rsidRPr="00DE61F7">
        <w:rPr>
          <w:rFonts w:cs="Baskerville"/>
          <w:lang w:eastAsia="ja-JP"/>
        </w:rPr>
        <w:t>) /  (employed population</w:t>
      </w:r>
      <w:r>
        <w:rPr>
          <w:rFonts w:cs="Baskerville"/>
          <w:lang w:eastAsia="ja-JP"/>
        </w:rPr>
        <w:t xml:space="preserve"> = 1 mn) = about $25,000.)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701D"/>
    <w:multiLevelType w:val="hybridMultilevel"/>
    <w:tmpl w:val="798C7454"/>
    <w:lvl w:ilvl="0" w:tplc="BE72B8F0">
      <w:start w:val="10"/>
      <w:numFmt w:val="bullet"/>
      <w:lvlText w:val="-"/>
      <w:lvlJc w:val="left"/>
      <w:pPr>
        <w:ind w:left="720" w:hanging="360"/>
      </w:pPr>
      <w:rPr>
        <w:rFonts w:ascii="Helvetica" w:eastAsiaTheme="minorEastAs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047DAD"/>
    <w:multiLevelType w:val="hybridMultilevel"/>
    <w:tmpl w:val="9A5EB150"/>
    <w:lvl w:ilvl="0" w:tplc="C6A2C8D2">
      <w:numFmt w:val="bullet"/>
      <w:lvlText w:val="-"/>
      <w:lvlJc w:val="left"/>
      <w:pPr>
        <w:ind w:left="720" w:hanging="360"/>
      </w:pPr>
      <w:rPr>
        <w:rFonts w:ascii="Helvetica" w:eastAsiaTheme="minorEastAs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6E3B07"/>
    <w:multiLevelType w:val="hybridMultilevel"/>
    <w:tmpl w:val="C166112E"/>
    <w:lvl w:ilvl="0" w:tplc="64301C3E">
      <w:start w:val="30"/>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86780C"/>
    <w:multiLevelType w:val="hybridMultilevel"/>
    <w:tmpl w:val="7F7EA82C"/>
    <w:lvl w:ilvl="0" w:tplc="0114BEB4">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B27432"/>
    <w:multiLevelType w:val="hybridMultilevel"/>
    <w:tmpl w:val="C4B4E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E4"/>
    <w:rsid w:val="00003081"/>
    <w:rsid w:val="00004273"/>
    <w:rsid w:val="000067C6"/>
    <w:rsid w:val="00020A74"/>
    <w:rsid w:val="00022699"/>
    <w:rsid w:val="00024509"/>
    <w:rsid w:val="0002486F"/>
    <w:rsid w:val="00026A93"/>
    <w:rsid w:val="00026AFA"/>
    <w:rsid w:val="00027422"/>
    <w:rsid w:val="000277C6"/>
    <w:rsid w:val="00031CAC"/>
    <w:rsid w:val="0003335A"/>
    <w:rsid w:val="00033B08"/>
    <w:rsid w:val="00033C32"/>
    <w:rsid w:val="00035E51"/>
    <w:rsid w:val="00042FA6"/>
    <w:rsid w:val="0005096D"/>
    <w:rsid w:val="0005273B"/>
    <w:rsid w:val="000528C7"/>
    <w:rsid w:val="0005309E"/>
    <w:rsid w:val="00055846"/>
    <w:rsid w:val="00057EE1"/>
    <w:rsid w:val="0006568F"/>
    <w:rsid w:val="0006715A"/>
    <w:rsid w:val="00070D0B"/>
    <w:rsid w:val="00071AE1"/>
    <w:rsid w:val="0007251D"/>
    <w:rsid w:val="000725BA"/>
    <w:rsid w:val="00075A42"/>
    <w:rsid w:val="00081721"/>
    <w:rsid w:val="000842F2"/>
    <w:rsid w:val="00084E7F"/>
    <w:rsid w:val="00086D25"/>
    <w:rsid w:val="00090409"/>
    <w:rsid w:val="00094DB9"/>
    <w:rsid w:val="0009514C"/>
    <w:rsid w:val="000A00E9"/>
    <w:rsid w:val="000A7EE5"/>
    <w:rsid w:val="000B1B2D"/>
    <w:rsid w:val="000B2F4E"/>
    <w:rsid w:val="000B39C3"/>
    <w:rsid w:val="000B4D45"/>
    <w:rsid w:val="000C7250"/>
    <w:rsid w:val="000D1626"/>
    <w:rsid w:val="000D7159"/>
    <w:rsid w:val="000E55C0"/>
    <w:rsid w:val="000E60F9"/>
    <w:rsid w:val="000E7E32"/>
    <w:rsid w:val="000F0170"/>
    <w:rsid w:val="000F152A"/>
    <w:rsid w:val="000F1DBE"/>
    <w:rsid w:val="000F2402"/>
    <w:rsid w:val="000F2F9E"/>
    <w:rsid w:val="000F52CB"/>
    <w:rsid w:val="000F5506"/>
    <w:rsid w:val="000F56B2"/>
    <w:rsid w:val="000F67B3"/>
    <w:rsid w:val="000F72BE"/>
    <w:rsid w:val="00100926"/>
    <w:rsid w:val="00100ABD"/>
    <w:rsid w:val="00101915"/>
    <w:rsid w:val="00101971"/>
    <w:rsid w:val="00103348"/>
    <w:rsid w:val="001045CB"/>
    <w:rsid w:val="001060E9"/>
    <w:rsid w:val="00106A7F"/>
    <w:rsid w:val="00107766"/>
    <w:rsid w:val="00107853"/>
    <w:rsid w:val="00112F6A"/>
    <w:rsid w:val="001140A2"/>
    <w:rsid w:val="001151B4"/>
    <w:rsid w:val="00126A7F"/>
    <w:rsid w:val="0013188B"/>
    <w:rsid w:val="001355A5"/>
    <w:rsid w:val="00136263"/>
    <w:rsid w:val="0013772D"/>
    <w:rsid w:val="0014340C"/>
    <w:rsid w:val="001435E0"/>
    <w:rsid w:val="0015642E"/>
    <w:rsid w:val="001614DB"/>
    <w:rsid w:val="001656E0"/>
    <w:rsid w:val="00167948"/>
    <w:rsid w:val="00174F0A"/>
    <w:rsid w:val="00191151"/>
    <w:rsid w:val="00192A60"/>
    <w:rsid w:val="001972D6"/>
    <w:rsid w:val="00197327"/>
    <w:rsid w:val="001A1AA0"/>
    <w:rsid w:val="001A28E9"/>
    <w:rsid w:val="001A6E34"/>
    <w:rsid w:val="001C09AE"/>
    <w:rsid w:val="001C0F5E"/>
    <w:rsid w:val="001C598B"/>
    <w:rsid w:val="001D42A6"/>
    <w:rsid w:val="001E4968"/>
    <w:rsid w:val="001E7E61"/>
    <w:rsid w:val="001F4E98"/>
    <w:rsid w:val="002037CA"/>
    <w:rsid w:val="00203F45"/>
    <w:rsid w:val="00214D8B"/>
    <w:rsid w:val="00216F70"/>
    <w:rsid w:val="002222AC"/>
    <w:rsid w:val="00224268"/>
    <w:rsid w:val="00225EA3"/>
    <w:rsid w:val="00230C8F"/>
    <w:rsid w:val="00230E87"/>
    <w:rsid w:val="002317D5"/>
    <w:rsid w:val="002327A0"/>
    <w:rsid w:val="002343E2"/>
    <w:rsid w:val="00235F0C"/>
    <w:rsid w:val="00240665"/>
    <w:rsid w:val="00240E68"/>
    <w:rsid w:val="00247A8E"/>
    <w:rsid w:val="00247BF3"/>
    <w:rsid w:val="002521DF"/>
    <w:rsid w:val="002545D0"/>
    <w:rsid w:val="002609DD"/>
    <w:rsid w:val="002628E5"/>
    <w:rsid w:val="00267413"/>
    <w:rsid w:val="00272015"/>
    <w:rsid w:val="00274DDE"/>
    <w:rsid w:val="002809B8"/>
    <w:rsid w:val="002854D3"/>
    <w:rsid w:val="00291414"/>
    <w:rsid w:val="0029246E"/>
    <w:rsid w:val="002929BB"/>
    <w:rsid w:val="00292E6B"/>
    <w:rsid w:val="0029579F"/>
    <w:rsid w:val="002979BA"/>
    <w:rsid w:val="002A2993"/>
    <w:rsid w:val="002A29A0"/>
    <w:rsid w:val="002A5499"/>
    <w:rsid w:val="002A7222"/>
    <w:rsid w:val="002B0B62"/>
    <w:rsid w:val="002B18D7"/>
    <w:rsid w:val="002B32AE"/>
    <w:rsid w:val="002B3D6A"/>
    <w:rsid w:val="002B6C8C"/>
    <w:rsid w:val="002C2ACF"/>
    <w:rsid w:val="002C3962"/>
    <w:rsid w:val="002C6C86"/>
    <w:rsid w:val="002D2B14"/>
    <w:rsid w:val="002D631B"/>
    <w:rsid w:val="002D6F62"/>
    <w:rsid w:val="002E0E71"/>
    <w:rsid w:val="002E0F5B"/>
    <w:rsid w:val="002E1A84"/>
    <w:rsid w:val="002E210B"/>
    <w:rsid w:val="002E4888"/>
    <w:rsid w:val="002E4C41"/>
    <w:rsid w:val="002E4D4E"/>
    <w:rsid w:val="002E7E97"/>
    <w:rsid w:val="002F1968"/>
    <w:rsid w:val="002F1BBA"/>
    <w:rsid w:val="002F3FAA"/>
    <w:rsid w:val="002F5D4F"/>
    <w:rsid w:val="002F6783"/>
    <w:rsid w:val="0030023E"/>
    <w:rsid w:val="003002B4"/>
    <w:rsid w:val="003039AE"/>
    <w:rsid w:val="00310C8C"/>
    <w:rsid w:val="00316C32"/>
    <w:rsid w:val="00316E47"/>
    <w:rsid w:val="00316EE5"/>
    <w:rsid w:val="003177F7"/>
    <w:rsid w:val="00321549"/>
    <w:rsid w:val="003265D5"/>
    <w:rsid w:val="00337330"/>
    <w:rsid w:val="003416CB"/>
    <w:rsid w:val="00346D31"/>
    <w:rsid w:val="00352489"/>
    <w:rsid w:val="003538C7"/>
    <w:rsid w:val="00355476"/>
    <w:rsid w:val="00355AFC"/>
    <w:rsid w:val="0035634E"/>
    <w:rsid w:val="003578F6"/>
    <w:rsid w:val="003644F6"/>
    <w:rsid w:val="0036583E"/>
    <w:rsid w:val="00366966"/>
    <w:rsid w:val="00371996"/>
    <w:rsid w:val="00371FAF"/>
    <w:rsid w:val="00372AB7"/>
    <w:rsid w:val="00377127"/>
    <w:rsid w:val="0038519D"/>
    <w:rsid w:val="00385686"/>
    <w:rsid w:val="00385A32"/>
    <w:rsid w:val="00385B2F"/>
    <w:rsid w:val="0039505A"/>
    <w:rsid w:val="003A481B"/>
    <w:rsid w:val="003A5EDA"/>
    <w:rsid w:val="003A6084"/>
    <w:rsid w:val="003A6A2A"/>
    <w:rsid w:val="003B06CD"/>
    <w:rsid w:val="003B1CBB"/>
    <w:rsid w:val="003B3506"/>
    <w:rsid w:val="003B466F"/>
    <w:rsid w:val="003B6C52"/>
    <w:rsid w:val="003C5471"/>
    <w:rsid w:val="003D0176"/>
    <w:rsid w:val="003D156B"/>
    <w:rsid w:val="003D1862"/>
    <w:rsid w:val="003D1B34"/>
    <w:rsid w:val="003D2972"/>
    <w:rsid w:val="003D3945"/>
    <w:rsid w:val="003D3978"/>
    <w:rsid w:val="003D47C6"/>
    <w:rsid w:val="003E1A35"/>
    <w:rsid w:val="003E502E"/>
    <w:rsid w:val="003E517F"/>
    <w:rsid w:val="003E55CB"/>
    <w:rsid w:val="003E5CF3"/>
    <w:rsid w:val="003E77F3"/>
    <w:rsid w:val="003F2FF3"/>
    <w:rsid w:val="003F775D"/>
    <w:rsid w:val="00403FD7"/>
    <w:rsid w:val="004116E0"/>
    <w:rsid w:val="00420683"/>
    <w:rsid w:val="0042169E"/>
    <w:rsid w:val="00423CE1"/>
    <w:rsid w:val="00424D97"/>
    <w:rsid w:val="00432808"/>
    <w:rsid w:val="0043408A"/>
    <w:rsid w:val="00435AE7"/>
    <w:rsid w:val="00436211"/>
    <w:rsid w:val="00442AB5"/>
    <w:rsid w:val="00443C06"/>
    <w:rsid w:val="004470CC"/>
    <w:rsid w:val="004475C8"/>
    <w:rsid w:val="00450772"/>
    <w:rsid w:val="00450FE3"/>
    <w:rsid w:val="00452CC0"/>
    <w:rsid w:val="00456E6E"/>
    <w:rsid w:val="004607C5"/>
    <w:rsid w:val="00461641"/>
    <w:rsid w:val="00464B6A"/>
    <w:rsid w:val="00466B83"/>
    <w:rsid w:val="00467DD7"/>
    <w:rsid w:val="00475268"/>
    <w:rsid w:val="00476702"/>
    <w:rsid w:val="004814FD"/>
    <w:rsid w:val="004815AE"/>
    <w:rsid w:val="00483102"/>
    <w:rsid w:val="004866B3"/>
    <w:rsid w:val="0049027D"/>
    <w:rsid w:val="00493B51"/>
    <w:rsid w:val="00497F78"/>
    <w:rsid w:val="004A2841"/>
    <w:rsid w:val="004A5C7A"/>
    <w:rsid w:val="004B3836"/>
    <w:rsid w:val="004C000D"/>
    <w:rsid w:val="004C296B"/>
    <w:rsid w:val="004C539B"/>
    <w:rsid w:val="004C673B"/>
    <w:rsid w:val="004D1504"/>
    <w:rsid w:val="004D254A"/>
    <w:rsid w:val="004D45D5"/>
    <w:rsid w:val="004D5BAF"/>
    <w:rsid w:val="004D6983"/>
    <w:rsid w:val="004E0EBE"/>
    <w:rsid w:val="004E1F03"/>
    <w:rsid w:val="004E3E2A"/>
    <w:rsid w:val="004E464B"/>
    <w:rsid w:val="004E5629"/>
    <w:rsid w:val="004E5F2D"/>
    <w:rsid w:val="004E6B2D"/>
    <w:rsid w:val="004F1CDE"/>
    <w:rsid w:val="004F6364"/>
    <w:rsid w:val="004F75B1"/>
    <w:rsid w:val="00500CC0"/>
    <w:rsid w:val="00500E2B"/>
    <w:rsid w:val="00501C34"/>
    <w:rsid w:val="00503501"/>
    <w:rsid w:val="00507627"/>
    <w:rsid w:val="00513FCF"/>
    <w:rsid w:val="00514189"/>
    <w:rsid w:val="0051682B"/>
    <w:rsid w:val="00522C15"/>
    <w:rsid w:val="005235B2"/>
    <w:rsid w:val="00524E24"/>
    <w:rsid w:val="005250FF"/>
    <w:rsid w:val="00531DAD"/>
    <w:rsid w:val="005321A5"/>
    <w:rsid w:val="00537547"/>
    <w:rsid w:val="00543632"/>
    <w:rsid w:val="00551305"/>
    <w:rsid w:val="00554BBC"/>
    <w:rsid w:val="00556A12"/>
    <w:rsid w:val="00564FD0"/>
    <w:rsid w:val="00570449"/>
    <w:rsid w:val="00572434"/>
    <w:rsid w:val="005729DF"/>
    <w:rsid w:val="00575246"/>
    <w:rsid w:val="00581895"/>
    <w:rsid w:val="00584264"/>
    <w:rsid w:val="0058443F"/>
    <w:rsid w:val="00591074"/>
    <w:rsid w:val="00592941"/>
    <w:rsid w:val="00592A04"/>
    <w:rsid w:val="0059627A"/>
    <w:rsid w:val="005A1480"/>
    <w:rsid w:val="005A6D4B"/>
    <w:rsid w:val="005A7552"/>
    <w:rsid w:val="005A7E30"/>
    <w:rsid w:val="005B0ED9"/>
    <w:rsid w:val="005B3063"/>
    <w:rsid w:val="005B3556"/>
    <w:rsid w:val="005B606F"/>
    <w:rsid w:val="005C00B2"/>
    <w:rsid w:val="005C3D7C"/>
    <w:rsid w:val="005C3FBD"/>
    <w:rsid w:val="005C533E"/>
    <w:rsid w:val="005C5982"/>
    <w:rsid w:val="005C6038"/>
    <w:rsid w:val="005D2CED"/>
    <w:rsid w:val="005D2D7F"/>
    <w:rsid w:val="005D364F"/>
    <w:rsid w:val="005E0BDE"/>
    <w:rsid w:val="005E7B0C"/>
    <w:rsid w:val="005F1AA1"/>
    <w:rsid w:val="005F1DE7"/>
    <w:rsid w:val="005F33B4"/>
    <w:rsid w:val="005F468F"/>
    <w:rsid w:val="005F74CB"/>
    <w:rsid w:val="006004A1"/>
    <w:rsid w:val="006011DE"/>
    <w:rsid w:val="006057ED"/>
    <w:rsid w:val="006107B3"/>
    <w:rsid w:val="00614385"/>
    <w:rsid w:val="006157EC"/>
    <w:rsid w:val="00617870"/>
    <w:rsid w:val="00617C1E"/>
    <w:rsid w:val="0062236E"/>
    <w:rsid w:val="006224D0"/>
    <w:rsid w:val="00622FD5"/>
    <w:rsid w:val="00624502"/>
    <w:rsid w:val="00624940"/>
    <w:rsid w:val="00624A44"/>
    <w:rsid w:val="00626B83"/>
    <w:rsid w:val="00631FAF"/>
    <w:rsid w:val="0063205E"/>
    <w:rsid w:val="00636F04"/>
    <w:rsid w:val="0064220E"/>
    <w:rsid w:val="00644443"/>
    <w:rsid w:val="006455F3"/>
    <w:rsid w:val="006456A3"/>
    <w:rsid w:val="00647491"/>
    <w:rsid w:val="00647CD8"/>
    <w:rsid w:val="00653770"/>
    <w:rsid w:val="00654244"/>
    <w:rsid w:val="00654EAC"/>
    <w:rsid w:val="00655881"/>
    <w:rsid w:val="00666114"/>
    <w:rsid w:val="0066771E"/>
    <w:rsid w:val="006679AF"/>
    <w:rsid w:val="00671034"/>
    <w:rsid w:val="00672DF7"/>
    <w:rsid w:val="006741AD"/>
    <w:rsid w:val="00675BC2"/>
    <w:rsid w:val="00677570"/>
    <w:rsid w:val="00686073"/>
    <w:rsid w:val="00690A05"/>
    <w:rsid w:val="00690FAC"/>
    <w:rsid w:val="00691E8B"/>
    <w:rsid w:val="006920B6"/>
    <w:rsid w:val="00693037"/>
    <w:rsid w:val="00695A23"/>
    <w:rsid w:val="006A142B"/>
    <w:rsid w:val="006A3D96"/>
    <w:rsid w:val="006A4B50"/>
    <w:rsid w:val="006A5A44"/>
    <w:rsid w:val="006A5C4B"/>
    <w:rsid w:val="006A63B3"/>
    <w:rsid w:val="006A731F"/>
    <w:rsid w:val="006B3A2D"/>
    <w:rsid w:val="006C2575"/>
    <w:rsid w:val="006C3060"/>
    <w:rsid w:val="006C598E"/>
    <w:rsid w:val="006C62C6"/>
    <w:rsid w:val="006D1BA2"/>
    <w:rsid w:val="006D38A1"/>
    <w:rsid w:val="006D3E41"/>
    <w:rsid w:val="006E0CBC"/>
    <w:rsid w:val="006E2E93"/>
    <w:rsid w:val="006E60EC"/>
    <w:rsid w:val="006E60FE"/>
    <w:rsid w:val="006F1592"/>
    <w:rsid w:val="006F314E"/>
    <w:rsid w:val="00702FA1"/>
    <w:rsid w:val="00705331"/>
    <w:rsid w:val="00706D89"/>
    <w:rsid w:val="007124D8"/>
    <w:rsid w:val="0071606F"/>
    <w:rsid w:val="00723973"/>
    <w:rsid w:val="00726F47"/>
    <w:rsid w:val="007277A7"/>
    <w:rsid w:val="00730265"/>
    <w:rsid w:val="007340A1"/>
    <w:rsid w:val="00734937"/>
    <w:rsid w:val="00735618"/>
    <w:rsid w:val="00741540"/>
    <w:rsid w:val="00741862"/>
    <w:rsid w:val="00743CA6"/>
    <w:rsid w:val="0074493B"/>
    <w:rsid w:val="00745DF3"/>
    <w:rsid w:val="007513F8"/>
    <w:rsid w:val="0075146A"/>
    <w:rsid w:val="0075234C"/>
    <w:rsid w:val="00752D9A"/>
    <w:rsid w:val="00753571"/>
    <w:rsid w:val="00761EA8"/>
    <w:rsid w:val="0076321D"/>
    <w:rsid w:val="00765075"/>
    <w:rsid w:val="00766F39"/>
    <w:rsid w:val="007762CF"/>
    <w:rsid w:val="0078387E"/>
    <w:rsid w:val="00790CF4"/>
    <w:rsid w:val="007922CC"/>
    <w:rsid w:val="007936AB"/>
    <w:rsid w:val="00794720"/>
    <w:rsid w:val="007A0719"/>
    <w:rsid w:val="007A0B0A"/>
    <w:rsid w:val="007A269E"/>
    <w:rsid w:val="007A4570"/>
    <w:rsid w:val="007A4DF8"/>
    <w:rsid w:val="007A4DF9"/>
    <w:rsid w:val="007B41EE"/>
    <w:rsid w:val="007B748E"/>
    <w:rsid w:val="007B78DF"/>
    <w:rsid w:val="007B7CF2"/>
    <w:rsid w:val="007C07A4"/>
    <w:rsid w:val="007C0B16"/>
    <w:rsid w:val="007C1636"/>
    <w:rsid w:val="007C1BB9"/>
    <w:rsid w:val="007C2CD5"/>
    <w:rsid w:val="007C312D"/>
    <w:rsid w:val="007C33B7"/>
    <w:rsid w:val="007C52F2"/>
    <w:rsid w:val="007C6894"/>
    <w:rsid w:val="007C77D1"/>
    <w:rsid w:val="007D412A"/>
    <w:rsid w:val="007D6353"/>
    <w:rsid w:val="007D76BE"/>
    <w:rsid w:val="007E4098"/>
    <w:rsid w:val="007E6A00"/>
    <w:rsid w:val="007E750A"/>
    <w:rsid w:val="007E7A87"/>
    <w:rsid w:val="007F10AB"/>
    <w:rsid w:val="007F4CC2"/>
    <w:rsid w:val="007F517B"/>
    <w:rsid w:val="007F670D"/>
    <w:rsid w:val="007F7300"/>
    <w:rsid w:val="0080053A"/>
    <w:rsid w:val="00800897"/>
    <w:rsid w:val="00800CFC"/>
    <w:rsid w:val="008048BD"/>
    <w:rsid w:val="008051DE"/>
    <w:rsid w:val="008057BE"/>
    <w:rsid w:val="008071FE"/>
    <w:rsid w:val="00807A87"/>
    <w:rsid w:val="00811776"/>
    <w:rsid w:val="00814110"/>
    <w:rsid w:val="00814776"/>
    <w:rsid w:val="00822867"/>
    <w:rsid w:val="0082398E"/>
    <w:rsid w:val="00825142"/>
    <w:rsid w:val="008330AB"/>
    <w:rsid w:val="00840917"/>
    <w:rsid w:val="00842166"/>
    <w:rsid w:val="00846A7B"/>
    <w:rsid w:val="00853355"/>
    <w:rsid w:val="00861689"/>
    <w:rsid w:val="008621ED"/>
    <w:rsid w:val="008654BF"/>
    <w:rsid w:val="00866E23"/>
    <w:rsid w:val="00866EAD"/>
    <w:rsid w:val="00867611"/>
    <w:rsid w:val="008679DE"/>
    <w:rsid w:val="008702A2"/>
    <w:rsid w:val="00870CF4"/>
    <w:rsid w:val="008748E7"/>
    <w:rsid w:val="0088246F"/>
    <w:rsid w:val="008923E1"/>
    <w:rsid w:val="008929E1"/>
    <w:rsid w:val="00892E64"/>
    <w:rsid w:val="008934CD"/>
    <w:rsid w:val="00893EE3"/>
    <w:rsid w:val="0089663D"/>
    <w:rsid w:val="008A181C"/>
    <w:rsid w:val="008A283A"/>
    <w:rsid w:val="008A2F08"/>
    <w:rsid w:val="008A456E"/>
    <w:rsid w:val="008A7E59"/>
    <w:rsid w:val="008A7F02"/>
    <w:rsid w:val="008B0169"/>
    <w:rsid w:val="008B18DD"/>
    <w:rsid w:val="008B2F9C"/>
    <w:rsid w:val="008B3B72"/>
    <w:rsid w:val="008B44ED"/>
    <w:rsid w:val="008B53F5"/>
    <w:rsid w:val="008B55E4"/>
    <w:rsid w:val="008C51A3"/>
    <w:rsid w:val="008C6C2B"/>
    <w:rsid w:val="008C7F55"/>
    <w:rsid w:val="008D2F0E"/>
    <w:rsid w:val="008E016C"/>
    <w:rsid w:val="008E3E58"/>
    <w:rsid w:val="008E5E71"/>
    <w:rsid w:val="008F09D3"/>
    <w:rsid w:val="008F2A71"/>
    <w:rsid w:val="008F5B2F"/>
    <w:rsid w:val="00904E7C"/>
    <w:rsid w:val="00905067"/>
    <w:rsid w:val="009058CA"/>
    <w:rsid w:val="00906011"/>
    <w:rsid w:val="0090775D"/>
    <w:rsid w:val="009078E9"/>
    <w:rsid w:val="00911096"/>
    <w:rsid w:val="00912C9F"/>
    <w:rsid w:val="009148FB"/>
    <w:rsid w:val="00916A04"/>
    <w:rsid w:val="00922CCA"/>
    <w:rsid w:val="00923837"/>
    <w:rsid w:val="00932732"/>
    <w:rsid w:val="009331F1"/>
    <w:rsid w:val="00933FAC"/>
    <w:rsid w:val="009340F8"/>
    <w:rsid w:val="00934B77"/>
    <w:rsid w:val="00935D04"/>
    <w:rsid w:val="00935F08"/>
    <w:rsid w:val="009362D9"/>
    <w:rsid w:val="009364B5"/>
    <w:rsid w:val="009367FD"/>
    <w:rsid w:val="0094003A"/>
    <w:rsid w:val="009418AF"/>
    <w:rsid w:val="0094238F"/>
    <w:rsid w:val="00944FAE"/>
    <w:rsid w:val="00951E2F"/>
    <w:rsid w:val="00952349"/>
    <w:rsid w:val="009603C5"/>
    <w:rsid w:val="00961438"/>
    <w:rsid w:val="00961454"/>
    <w:rsid w:val="009616AA"/>
    <w:rsid w:val="00973800"/>
    <w:rsid w:val="00973D2E"/>
    <w:rsid w:val="00977E81"/>
    <w:rsid w:val="00981985"/>
    <w:rsid w:val="00981D15"/>
    <w:rsid w:val="009828F1"/>
    <w:rsid w:val="00984382"/>
    <w:rsid w:val="0098585C"/>
    <w:rsid w:val="009904C6"/>
    <w:rsid w:val="0099071C"/>
    <w:rsid w:val="00994ECE"/>
    <w:rsid w:val="00995EC2"/>
    <w:rsid w:val="009A0151"/>
    <w:rsid w:val="009A0499"/>
    <w:rsid w:val="009A7174"/>
    <w:rsid w:val="009B0260"/>
    <w:rsid w:val="009B1C96"/>
    <w:rsid w:val="009B4183"/>
    <w:rsid w:val="009B54C9"/>
    <w:rsid w:val="009B6B90"/>
    <w:rsid w:val="009C1D07"/>
    <w:rsid w:val="009C2224"/>
    <w:rsid w:val="009D0EA3"/>
    <w:rsid w:val="009D1C7A"/>
    <w:rsid w:val="009D32EC"/>
    <w:rsid w:val="009D3DD5"/>
    <w:rsid w:val="009D4B2B"/>
    <w:rsid w:val="009E47D3"/>
    <w:rsid w:val="009E4BC9"/>
    <w:rsid w:val="009E53BF"/>
    <w:rsid w:val="009E5610"/>
    <w:rsid w:val="009E75AE"/>
    <w:rsid w:val="009F4A99"/>
    <w:rsid w:val="00A07664"/>
    <w:rsid w:val="00A07E25"/>
    <w:rsid w:val="00A1099D"/>
    <w:rsid w:val="00A12DCD"/>
    <w:rsid w:val="00A12E5E"/>
    <w:rsid w:val="00A15A24"/>
    <w:rsid w:val="00A226C0"/>
    <w:rsid w:val="00A23244"/>
    <w:rsid w:val="00A307B7"/>
    <w:rsid w:val="00A34D3C"/>
    <w:rsid w:val="00A3583C"/>
    <w:rsid w:val="00A375F3"/>
    <w:rsid w:val="00A37D7F"/>
    <w:rsid w:val="00A438F3"/>
    <w:rsid w:val="00A473F3"/>
    <w:rsid w:val="00A476C5"/>
    <w:rsid w:val="00A558B3"/>
    <w:rsid w:val="00A5738E"/>
    <w:rsid w:val="00A573D3"/>
    <w:rsid w:val="00A6141A"/>
    <w:rsid w:val="00A73CC5"/>
    <w:rsid w:val="00A74C07"/>
    <w:rsid w:val="00A76E19"/>
    <w:rsid w:val="00A7768B"/>
    <w:rsid w:val="00A83F93"/>
    <w:rsid w:val="00A84385"/>
    <w:rsid w:val="00AA14F7"/>
    <w:rsid w:val="00AA3B0A"/>
    <w:rsid w:val="00AA3FCC"/>
    <w:rsid w:val="00AA6B81"/>
    <w:rsid w:val="00AB1CF4"/>
    <w:rsid w:val="00AB36D0"/>
    <w:rsid w:val="00AB38F4"/>
    <w:rsid w:val="00AB7BA1"/>
    <w:rsid w:val="00AC0A6F"/>
    <w:rsid w:val="00AC1CB4"/>
    <w:rsid w:val="00AC5329"/>
    <w:rsid w:val="00AC5DE9"/>
    <w:rsid w:val="00AC7A95"/>
    <w:rsid w:val="00AD2291"/>
    <w:rsid w:val="00AD45BF"/>
    <w:rsid w:val="00AD4BBA"/>
    <w:rsid w:val="00AE4B38"/>
    <w:rsid w:val="00AF1188"/>
    <w:rsid w:val="00AF2BC8"/>
    <w:rsid w:val="00AF686C"/>
    <w:rsid w:val="00AF795E"/>
    <w:rsid w:val="00B02912"/>
    <w:rsid w:val="00B02C82"/>
    <w:rsid w:val="00B031B6"/>
    <w:rsid w:val="00B043E3"/>
    <w:rsid w:val="00B05EA1"/>
    <w:rsid w:val="00B06FE4"/>
    <w:rsid w:val="00B07BD0"/>
    <w:rsid w:val="00B114D6"/>
    <w:rsid w:val="00B155E3"/>
    <w:rsid w:val="00B16D5C"/>
    <w:rsid w:val="00B21169"/>
    <w:rsid w:val="00B22006"/>
    <w:rsid w:val="00B233F6"/>
    <w:rsid w:val="00B26EE7"/>
    <w:rsid w:val="00B34C28"/>
    <w:rsid w:val="00B37804"/>
    <w:rsid w:val="00B4245E"/>
    <w:rsid w:val="00B42859"/>
    <w:rsid w:val="00B467F0"/>
    <w:rsid w:val="00B50D46"/>
    <w:rsid w:val="00B5311C"/>
    <w:rsid w:val="00B546E3"/>
    <w:rsid w:val="00B55249"/>
    <w:rsid w:val="00B55DF5"/>
    <w:rsid w:val="00B6158D"/>
    <w:rsid w:val="00B643AE"/>
    <w:rsid w:val="00B67614"/>
    <w:rsid w:val="00B71A39"/>
    <w:rsid w:val="00B7345C"/>
    <w:rsid w:val="00B734A9"/>
    <w:rsid w:val="00B736E9"/>
    <w:rsid w:val="00B73F9C"/>
    <w:rsid w:val="00B752CA"/>
    <w:rsid w:val="00B80939"/>
    <w:rsid w:val="00B8380F"/>
    <w:rsid w:val="00B839EE"/>
    <w:rsid w:val="00B908B0"/>
    <w:rsid w:val="00B91E61"/>
    <w:rsid w:val="00B92C73"/>
    <w:rsid w:val="00B934F2"/>
    <w:rsid w:val="00B935CA"/>
    <w:rsid w:val="00B94436"/>
    <w:rsid w:val="00B94863"/>
    <w:rsid w:val="00B96402"/>
    <w:rsid w:val="00BA053E"/>
    <w:rsid w:val="00BA2962"/>
    <w:rsid w:val="00BA5A67"/>
    <w:rsid w:val="00BA6656"/>
    <w:rsid w:val="00BB136C"/>
    <w:rsid w:val="00BB1C28"/>
    <w:rsid w:val="00BB385E"/>
    <w:rsid w:val="00BC16C6"/>
    <w:rsid w:val="00BC2BB4"/>
    <w:rsid w:val="00BC3C9B"/>
    <w:rsid w:val="00BC7BEA"/>
    <w:rsid w:val="00BD0294"/>
    <w:rsid w:val="00BD33E7"/>
    <w:rsid w:val="00BD34BD"/>
    <w:rsid w:val="00BD73EC"/>
    <w:rsid w:val="00BE43C8"/>
    <w:rsid w:val="00BF1726"/>
    <w:rsid w:val="00BF1F02"/>
    <w:rsid w:val="00BF3D62"/>
    <w:rsid w:val="00BF73DB"/>
    <w:rsid w:val="00C0053E"/>
    <w:rsid w:val="00C00E52"/>
    <w:rsid w:val="00C02CB5"/>
    <w:rsid w:val="00C0345C"/>
    <w:rsid w:val="00C06F15"/>
    <w:rsid w:val="00C10763"/>
    <w:rsid w:val="00C10D53"/>
    <w:rsid w:val="00C22619"/>
    <w:rsid w:val="00C23D34"/>
    <w:rsid w:val="00C2511C"/>
    <w:rsid w:val="00C26ABE"/>
    <w:rsid w:val="00C3032F"/>
    <w:rsid w:val="00C30E17"/>
    <w:rsid w:val="00C334DA"/>
    <w:rsid w:val="00C36960"/>
    <w:rsid w:val="00C36F08"/>
    <w:rsid w:val="00C403A6"/>
    <w:rsid w:val="00C422A4"/>
    <w:rsid w:val="00C440E9"/>
    <w:rsid w:val="00C45106"/>
    <w:rsid w:val="00C457C5"/>
    <w:rsid w:val="00C45EEA"/>
    <w:rsid w:val="00C4731E"/>
    <w:rsid w:val="00C60670"/>
    <w:rsid w:val="00C60C17"/>
    <w:rsid w:val="00C75991"/>
    <w:rsid w:val="00C76A94"/>
    <w:rsid w:val="00C76E1C"/>
    <w:rsid w:val="00C776DA"/>
    <w:rsid w:val="00C77828"/>
    <w:rsid w:val="00C77B9D"/>
    <w:rsid w:val="00C83FF8"/>
    <w:rsid w:val="00C8466F"/>
    <w:rsid w:val="00C91214"/>
    <w:rsid w:val="00C919F1"/>
    <w:rsid w:val="00C96DE6"/>
    <w:rsid w:val="00CA08E0"/>
    <w:rsid w:val="00CA2A2A"/>
    <w:rsid w:val="00CA32AA"/>
    <w:rsid w:val="00CA6A84"/>
    <w:rsid w:val="00CA6BB3"/>
    <w:rsid w:val="00CA7FE2"/>
    <w:rsid w:val="00CB075F"/>
    <w:rsid w:val="00CB56CC"/>
    <w:rsid w:val="00CB6D10"/>
    <w:rsid w:val="00CB79D5"/>
    <w:rsid w:val="00CC03F8"/>
    <w:rsid w:val="00CC0BBB"/>
    <w:rsid w:val="00CC2199"/>
    <w:rsid w:val="00CC3938"/>
    <w:rsid w:val="00CC4A0D"/>
    <w:rsid w:val="00CC5F55"/>
    <w:rsid w:val="00CD0389"/>
    <w:rsid w:val="00CD1E36"/>
    <w:rsid w:val="00CD4CCA"/>
    <w:rsid w:val="00CD5D4A"/>
    <w:rsid w:val="00CD5FA4"/>
    <w:rsid w:val="00CD7099"/>
    <w:rsid w:val="00CE0535"/>
    <w:rsid w:val="00CE08C1"/>
    <w:rsid w:val="00CE24D1"/>
    <w:rsid w:val="00CE3F9A"/>
    <w:rsid w:val="00CE4135"/>
    <w:rsid w:val="00CF2227"/>
    <w:rsid w:val="00CF22E4"/>
    <w:rsid w:val="00D02D24"/>
    <w:rsid w:val="00D05957"/>
    <w:rsid w:val="00D068F8"/>
    <w:rsid w:val="00D06D90"/>
    <w:rsid w:val="00D11BCC"/>
    <w:rsid w:val="00D12A1F"/>
    <w:rsid w:val="00D12B50"/>
    <w:rsid w:val="00D14F6F"/>
    <w:rsid w:val="00D178FA"/>
    <w:rsid w:val="00D21894"/>
    <w:rsid w:val="00D25013"/>
    <w:rsid w:val="00D25474"/>
    <w:rsid w:val="00D417E1"/>
    <w:rsid w:val="00D46150"/>
    <w:rsid w:val="00D46B44"/>
    <w:rsid w:val="00D50831"/>
    <w:rsid w:val="00D535AB"/>
    <w:rsid w:val="00D5531C"/>
    <w:rsid w:val="00D56E09"/>
    <w:rsid w:val="00D573DF"/>
    <w:rsid w:val="00D57DD0"/>
    <w:rsid w:val="00D61BCA"/>
    <w:rsid w:val="00D650E8"/>
    <w:rsid w:val="00D661C3"/>
    <w:rsid w:val="00D6648E"/>
    <w:rsid w:val="00D7066E"/>
    <w:rsid w:val="00D70961"/>
    <w:rsid w:val="00D73821"/>
    <w:rsid w:val="00D76D07"/>
    <w:rsid w:val="00D90E62"/>
    <w:rsid w:val="00D933B9"/>
    <w:rsid w:val="00D93824"/>
    <w:rsid w:val="00D93FE6"/>
    <w:rsid w:val="00D95019"/>
    <w:rsid w:val="00D95E4C"/>
    <w:rsid w:val="00D96A11"/>
    <w:rsid w:val="00DA2371"/>
    <w:rsid w:val="00DA297F"/>
    <w:rsid w:val="00DA4294"/>
    <w:rsid w:val="00DA4780"/>
    <w:rsid w:val="00DA795C"/>
    <w:rsid w:val="00DB03BB"/>
    <w:rsid w:val="00DB181B"/>
    <w:rsid w:val="00DB2898"/>
    <w:rsid w:val="00DB604B"/>
    <w:rsid w:val="00DC0603"/>
    <w:rsid w:val="00DC43E8"/>
    <w:rsid w:val="00DD0826"/>
    <w:rsid w:val="00DD0BB3"/>
    <w:rsid w:val="00DD0F13"/>
    <w:rsid w:val="00DD298A"/>
    <w:rsid w:val="00DD37DF"/>
    <w:rsid w:val="00DD3F87"/>
    <w:rsid w:val="00DE149E"/>
    <w:rsid w:val="00DE1A30"/>
    <w:rsid w:val="00DE3225"/>
    <w:rsid w:val="00DE50AA"/>
    <w:rsid w:val="00DE61F7"/>
    <w:rsid w:val="00DE66F1"/>
    <w:rsid w:val="00DE6FBF"/>
    <w:rsid w:val="00DF1813"/>
    <w:rsid w:val="00DF338D"/>
    <w:rsid w:val="00DF3AFF"/>
    <w:rsid w:val="00DF543D"/>
    <w:rsid w:val="00E0273E"/>
    <w:rsid w:val="00E06A13"/>
    <w:rsid w:val="00E1024E"/>
    <w:rsid w:val="00E126DB"/>
    <w:rsid w:val="00E20107"/>
    <w:rsid w:val="00E218B8"/>
    <w:rsid w:val="00E23631"/>
    <w:rsid w:val="00E25F4D"/>
    <w:rsid w:val="00E265BA"/>
    <w:rsid w:val="00E27DBF"/>
    <w:rsid w:val="00E319D9"/>
    <w:rsid w:val="00E32F61"/>
    <w:rsid w:val="00E345C1"/>
    <w:rsid w:val="00E36A10"/>
    <w:rsid w:val="00E43957"/>
    <w:rsid w:val="00E4562E"/>
    <w:rsid w:val="00E467C3"/>
    <w:rsid w:val="00E54B55"/>
    <w:rsid w:val="00E55C31"/>
    <w:rsid w:val="00E60EB9"/>
    <w:rsid w:val="00E63678"/>
    <w:rsid w:val="00E63A9A"/>
    <w:rsid w:val="00E64A3E"/>
    <w:rsid w:val="00E66D5A"/>
    <w:rsid w:val="00E70618"/>
    <w:rsid w:val="00E713FE"/>
    <w:rsid w:val="00E734F2"/>
    <w:rsid w:val="00E776B8"/>
    <w:rsid w:val="00E83FF9"/>
    <w:rsid w:val="00E86C87"/>
    <w:rsid w:val="00E86CC8"/>
    <w:rsid w:val="00E92B8D"/>
    <w:rsid w:val="00E92DB1"/>
    <w:rsid w:val="00E96170"/>
    <w:rsid w:val="00E96522"/>
    <w:rsid w:val="00E97115"/>
    <w:rsid w:val="00E97352"/>
    <w:rsid w:val="00EA1E47"/>
    <w:rsid w:val="00EA516D"/>
    <w:rsid w:val="00EA58E4"/>
    <w:rsid w:val="00EB1D6A"/>
    <w:rsid w:val="00EB4B74"/>
    <w:rsid w:val="00EB4DFC"/>
    <w:rsid w:val="00EC1B4D"/>
    <w:rsid w:val="00EC6B59"/>
    <w:rsid w:val="00EC7EFC"/>
    <w:rsid w:val="00ED00B4"/>
    <w:rsid w:val="00ED15E3"/>
    <w:rsid w:val="00ED5007"/>
    <w:rsid w:val="00EE4AD5"/>
    <w:rsid w:val="00EE5973"/>
    <w:rsid w:val="00EE5E21"/>
    <w:rsid w:val="00EE5F50"/>
    <w:rsid w:val="00EE646A"/>
    <w:rsid w:val="00EE6D94"/>
    <w:rsid w:val="00EF2DED"/>
    <w:rsid w:val="00EF5BB4"/>
    <w:rsid w:val="00EF7257"/>
    <w:rsid w:val="00EF73B9"/>
    <w:rsid w:val="00EF788C"/>
    <w:rsid w:val="00F01116"/>
    <w:rsid w:val="00F12781"/>
    <w:rsid w:val="00F21818"/>
    <w:rsid w:val="00F21E58"/>
    <w:rsid w:val="00F26C25"/>
    <w:rsid w:val="00F31C11"/>
    <w:rsid w:val="00F32C8D"/>
    <w:rsid w:val="00F3617A"/>
    <w:rsid w:val="00F4124B"/>
    <w:rsid w:val="00F41E26"/>
    <w:rsid w:val="00F50E16"/>
    <w:rsid w:val="00F5197A"/>
    <w:rsid w:val="00F525D6"/>
    <w:rsid w:val="00F52CCF"/>
    <w:rsid w:val="00F57203"/>
    <w:rsid w:val="00F61BD4"/>
    <w:rsid w:val="00F648AF"/>
    <w:rsid w:val="00F70425"/>
    <w:rsid w:val="00F71821"/>
    <w:rsid w:val="00F71CB0"/>
    <w:rsid w:val="00F80CA7"/>
    <w:rsid w:val="00F82D7A"/>
    <w:rsid w:val="00F831A5"/>
    <w:rsid w:val="00F84450"/>
    <w:rsid w:val="00F903FC"/>
    <w:rsid w:val="00F91EAF"/>
    <w:rsid w:val="00F92F70"/>
    <w:rsid w:val="00F935AB"/>
    <w:rsid w:val="00F945C4"/>
    <w:rsid w:val="00F945D5"/>
    <w:rsid w:val="00F9502B"/>
    <w:rsid w:val="00FA39DE"/>
    <w:rsid w:val="00FA5274"/>
    <w:rsid w:val="00FA6A02"/>
    <w:rsid w:val="00FA71C7"/>
    <w:rsid w:val="00FB0046"/>
    <w:rsid w:val="00FB2242"/>
    <w:rsid w:val="00FB5F00"/>
    <w:rsid w:val="00FB6095"/>
    <w:rsid w:val="00FC07CA"/>
    <w:rsid w:val="00FC1D28"/>
    <w:rsid w:val="00FC4D8C"/>
    <w:rsid w:val="00FC56BA"/>
    <w:rsid w:val="00FC7D5F"/>
    <w:rsid w:val="00FD02F5"/>
    <w:rsid w:val="00FD2562"/>
    <w:rsid w:val="00FD4E3E"/>
    <w:rsid w:val="00FD66DB"/>
    <w:rsid w:val="00FE64D2"/>
    <w:rsid w:val="00FF0710"/>
    <w:rsid w:val="00FF2060"/>
    <w:rsid w:val="00FF2A5B"/>
    <w:rsid w:val="00FF3490"/>
    <w:rsid w:val="00FF7D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A5C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8D"/>
    <w:pPr>
      <w:spacing w:line="360" w:lineRule="auto"/>
    </w:pPr>
    <w:rPr>
      <w:rFonts w:ascii="Helvetica" w:hAnsi="Helvetica"/>
      <w:sz w:val="24"/>
      <w:szCs w:val="24"/>
      <w:lang w:bidi="en-US"/>
    </w:rPr>
  </w:style>
  <w:style w:type="paragraph" w:styleId="Heading1">
    <w:name w:val="heading 1"/>
    <w:basedOn w:val="Normal"/>
    <w:next w:val="Normal"/>
    <w:qFormat/>
    <w:rsid w:val="00EE438B"/>
    <w:pPr>
      <w:keepNext/>
      <w:spacing w:before="240" w:after="60"/>
      <w:outlineLvl w:val="0"/>
    </w:pPr>
    <w:rPr>
      <w:b/>
      <w:kern w:val="32"/>
      <w:sz w:val="32"/>
      <w:szCs w:val="32"/>
    </w:rPr>
  </w:style>
  <w:style w:type="paragraph" w:styleId="Heading2">
    <w:name w:val="heading 2"/>
    <w:basedOn w:val="Normal"/>
    <w:next w:val="Normal"/>
    <w:link w:val="Heading2Char1"/>
    <w:uiPriority w:val="9"/>
    <w:qFormat/>
    <w:rsid w:val="00EE438B"/>
    <w:pPr>
      <w:keepNext/>
      <w:keepLines/>
      <w:spacing w:before="200"/>
      <w:outlineLvl w:val="1"/>
    </w:pPr>
    <w:rPr>
      <w:rFonts w:eastAsia="ＭＳ ゴシック"/>
      <w:b/>
      <w:bCs/>
      <w:sz w:val="26"/>
      <w:szCs w:val="26"/>
    </w:rPr>
  </w:style>
  <w:style w:type="paragraph" w:styleId="Heading3">
    <w:name w:val="heading 3"/>
    <w:basedOn w:val="Normal"/>
    <w:next w:val="Normal"/>
    <w:link w:val="Heading3Char"/>
    <w:uiPriority w:val="9"/>
    <w:unhideWhenUsed/>
    <w:qFormat/>
    <w:rsid w:val="008F5B2F"/>
    <w:pPr>
      <w:keepNext/>
      <w:keepLines/>
      <w:spacing w:before="200"/>
      <w:outlineLvl w:val="2"/>
    </w:pPr>
    <w:rPr>
      <w:rFonts w:asciiTheme="majorHAnsi" w:eastAsiaTheme="majorEastAsia" w:hAnsiTheme="majorHAnsi" w:cstheme="majorBidi"/>
      <w:b/>
      <w:b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EE438B"/>
    <w:rPr>
      <w:rFonts w:ascii="Helvetica" w:eastAsia="ＭＳ ゴシック" w:hAnsi="Helvetica" w:cs="Times New Roman"/>
      <w:b/>
      <w:bCs/>
      <w:sz w:val="26"/>
      <w:lang w:val="fr-FR" w:eastAsia="fr-FR"/>
    </w:rPr>
  </w:style>
  <w:style w:type="paragraph" w:styleId="FootnoteText">
    <w:name w:val="footnote text"/>
    <w:basedOn w:val="Normal"/>
    <w:link w:val="FootnoteTextChar1"/>
    <w:qFormat/>
    <w:rsid w:val="005F45C1"/>
    <w:pPr>
      <w:spacing w:line="240" w:lineRule="auto"/>
    </w:pPr>
    <w:rPr>
      <w:sz w:val="20"/>
    </w:rPr>
  </w:style>
  <w:style w:type="character" w:customStyle="1" w:styleId="FootnoteTextChar">
    <w:name w:val="Footnote Text Char"/>
    <w:basedOn w:val="DefaultParagraphFont"/>
    <w:rsid w:val="005F45C1"/>
    <w:rPr>
      <w:rFonts w:ascii="Helvetica" w:hAnsi="Helvetica" w:cs="Times New Roman"/>
      <w:sz w:val="24"/>
      <w:lang w:val="fr-FR" w:eastAsia="fr-FR"/>
    </w:rPr>
  </w:style>
  <w:style w:type="character" w:styleId="FootnoteReference">
    <w:name w:val="footnote reference"/>
    <w:basedOn w:val="DefaultParagraphFont"/>
    <w:rsid w:val="005F45C1"/>
    <w:rPr>
      <w:rFonts w:cs="Times New Roman"/>
      <w:vertAlign w:val="superscript"/>
    </w:rPr>
  </w:style>
  <w:style w:type="paragraph" w:styleId="Footer">
    <w:name w:val="footer"/>
    <w:basedOn w:val="Normal"/>
    <w:link w:val="FooterChar1"/>
    <w:uiPriority w:val="99"/>
    <w:rsid w:val="008A4FBF"/>
    <w:pPr>
      <w:tabs>
        <w:tab w:val="center" w:pos="4536"/>
        <w:tab w:val="right" w:pos="9072"/>
      </w:tabs>
      <w:spacing w:line="240" w:lineRule="auto"/>
    </w:pPr>
  </w:style>
  <w:style w:type="character" w:customStyle="1" w:styleId="FooterChar">
    <w:name w:val="Footer Char"/>
    <w:basedOn w:val="DefaultParagraphFont"/>
    <w:rsid w:val="008A4FBF"/>
    <w:rPr>
      <w:rFonts w:ascii="Helvetica" w:hAnsi="Helvetica" w:cs="Times New Roman"/>
      <w:sz w:val="24"/>
      <w:lang w:val="fr-FR" w:eastAsia="fr-FR"/>
    </w:rPr>
  </w:style>
  <w:style w:type="character" w:styleId="PageNumber">
    <w:name w:val="page number"/>
    <w:basedOn w:val="DefaultParagraphFont"/>
    <w:uiPriority w:val="99"/>
    <w:semiHidden/>
    <w:rsid w:val="008A4FBF"/>
    <w:rPr>
      <w:rFonts w:cs="Times New Roman"/>
    </w:rPr>
  </w:style>
  <w:style w:type="character" w:styleId="Hyperlink">
    <w:name w:val="Hyperlink"/>
    <w:basedOn w:val="DefaultParagraphFont"/>
    <w:uiPriority w:val="99"/>
    <w:rsid w:val="003778A6"/>
    <w:rPr>
      <w:rFonts w:cs="Times New Roman"/>
      <w:color w:val="0000FF"/>
      <w:u w:val="single"/>
    </w:rPr>
  </w:style>
  <w:style w:type="character" w:styleId="CommentReference">
    <w:name w:val="annotation reference"/>
    <w:basedOn w:val="DefaultParagraphFont"/>
    <w:semiHidden/>
    <w:rsid w:val="009A4C66"/>
    <w:rPr>
      <w:rFonts w:cs="Times New Roman"/>
      <w:sz w:val="18"/>
    </w:rPr>
  </w:style>
  <w:style w:type="paragraph" w:styleId="CommentText">
    <w:name w:val="annotation text"/>
    <w:basedOn w:val="Normal"/>
    <w:link w:val="CommentTextChar1"/>
    <w:semiHidden/>
    <w:rsid w:val="009A4C66"/>
    <w:pPr>
      <w:spacing w:line="240" w:lineRule="auto"/>
    </w:pPr>
  </w:style>
  <w:style w:type="character" w:customStyle="1" w:styleId="CommentTextChar">
    <w:name w:val="Comment Text Char"/>
    <w:basedOn w:val="DefaultParagraphFont"/>
    <w:semiHidden/>
    <w:rsid w:val="009A4C66"/>
    <w:rPr>
      <w:rFonts w:ascii="Helvetica" w:hAnsi="Helvetica" w:cs="Times New Roman"/>
      <w:sz w:val="24"/>
      <w:lang w:val="fr-FR" w:eastAsia="fr-FR"/>
    </w:rPr>
  </w:style>
  <w:style w:type="paragraph" w:styleId="CommentSubject">
    <w:name w:val="annotation subject"/>
    <w:basedOn w:val="CommentText"/>
    <w:next w:val="CommentText"/>
    <w:link w:val="CommentSubjectChar1"/>
    <w:semiHidden/>
    <w:rsid w:val="009A4C66"/>
    <w:rPr>
      <w:b/>
      <w:bCs/>
      <w:sz w:val="20"/>
      <w:szCs w:val="20"/>
    </w:rPr>
  </w:style>
  <w:style w:type="character" w:customStyle="1" w:styleId="CommentSubjectChar">
    <w:name w:val="Comment Subject Char"/>
    <w:basedOn w:val="CommentTextChar"/>
    <w:semiHidden/>
    <w:rsid w:val="009A4C66"/>
    <w:rPr>
      <w:rFonts w:ascii="Helvetica" w:hAnsi="Helvetica" w:cs="Times New Roman"/>
      <w:b/>
      <w:bCs/>
      <w:sz w:val="24"/>
      <w:lang w:val="fr-FR" w:eastAsia="fr-FR"/>
    </w:rPr>
  </w:style>
  <w:style w:type="paragraph" w:styleId="BalloonText">
    <w:name w:val="Balloon Text"/>
    <w:basedOn w:val="Normal"/>
    <w:link w:val="BalloonTextChar1"/>
    <w:uiPriority w:val="99"/>
    <w:semiHidden/>
    <w:rsid w:val="009A4C66"/>
    <w:pPr>
      <w:spacing w:line="240" w:lineRule="auto"/>
    </w:pPr>
    <w:rPr>
      <w:rFonts w:ascii="Lucida Grande" w:hAnsi="Lucida Grande" w:cs="Lucida Grande"/>
      <w:sz w:val="18"/>
      <w:szCs w:val="18"/>
    </w:rPr>
  </w:style>
  <w:style w:type="character" w:customStyle="1" w:styleId="BalloonTextChar">
    <w:name w:val="Balloon Text Char"/>
    <w:basedOn w:val="DefaultParagraphFont"/>
    <w:semiHidden/>
    <w:rsid w:val="009A4C66"/>
    <w:rPr>
      <w:rFonts w:ascii="Lucida Grande" w:hAnsi="Lucida Grande" w:cs="Lucida Grande"/>
      <w:sz w:val="18"/>
      <w:lang w:val="fr-FR" w:eastAsia="fr-FR"/>
    </w:rPr>
  </w:style>
  <w:style w:type="character" w:styleId="FollowedHyperlink">
    <w:name w:val="FollowedHyperlink"/>
    <w:basedOn w:val="DefaultParagraphFont"/>
    <w:uiPriority w:val="99"/>
    <w:semiHidden/>
    <w:unhideWhenUsed/>
    <w:rsid w:val="001A28E9"/>
    <w:rPr>
      <w:color w:val="800080" w:themeColor="followedHyperlink"/>
      <w:u w:val="single"/>
    </w:rPr>
  </w:style>
  <w:style w:type="paragraph" w:customStyle="1" w:styleId="Body1">
    <w:name w:val="Body 1"/>
    <w:autoRedefine/>
    <w:rsid w:val="00AA3B0A"/>
    <w:pPr>
      <w:spacing w:line="360" w:lineRule="auto"/>
      <w:outlineLvl w:val="0"/>
    </w:pPr>
    <w:rPr>
      <w:rFonts w:ascii="Helvetica" w:eastAsia="Arial Unicode MS" w:hAnsi="Helvetica"/>
      <w:color w:val="000000"/>
      <w:sz w:val="24"/>
      <w:u w:color="000000"/>
    </w:rPr>
  </w:style>
  <w:style w:type="character" w:customStyle="1" w:styleId="Heading3Char">
    <w:name w:val="Heading 3 Char"/>
    <w:basedOn w:val="DefaultParagraphFont"/>
    <w:link w:val="Heading3"/>
    <w:uiPriority w:val="9"/>
    <w:rsid w:val="008F5B2F"/>
    <w:rPr>
      <w:rFonts w:asciiTheme="majorHAnsi" w:eastAsiaTheme="majorEastAsia" w:hAnsiTheme="majorHAnsi" w:cstheme="majorBidi"/>
      <w:b/>
      <w:bCs/>
      <w:color w:val="4F81BD" w:themeColor="accent1"/>
      <w:sz w:val="24"/>
      <w:szCs w:val="24"/>
    </w:rPr>
  </w:style>
  <w:style w:type="character" w:customStyle="1" w:styleId="Heading2Char1">
    <w:name w:val="Heading 2 Char1"/>
    <w:basedOn w:val="DefaultParagraphFont"/>
    <w:link w:val="Heading2"/>
    <w:uiPriority w:val="9"/>
    <w:rsid w:val="008F5B2F"/>
    <w:rPr>
      <w:rFonts w:ascii="Helvetica" w:eastAsia="ＭＳ ゴシック" w:hAnsi="Helvetica"/>
      <w:b/>
      <w:bCs/>
      <w:sz w:val="26"/>
      <w:szCs w:val="26"/>
      <w:lang w:bidi="en-US"/>
    </w:rPr>
  </w:style>
  <w:style w:type="character" w:customStyle="1" w:styleId="FootnoteTextChar1">
    <w:name w:val="Footnote Text Char1"/>
    <w:basedOn w:val="DefaultParagraphFont"/>
    <w:link w:val="FootnoteText"/>
    <w:uiPriority w:val="99"/>
    <w:rsid w:val="008F5B2F"/>
    <w:rPr>
      <w:rFonts w:ascii="Helvetica" w:hAnsi="Helvetica"/>
      <w:szCs w:val="24"/>
      <w:lang w:bidi="en-US"/>
    </w:rPr>
  </w:style>
  <w:style w:type="character" w:styleId="BookTitle">
    <w:name w:val="Book Title"/>
    <w:basedOn w:val="DefaultParagraphFont"/>
    <w:uiPriority w:val="33"/>
    <w:qFormat/>
    <w:rsid w:val="008F5B2F"/>
    <w:rPr>
      <w:b/>
      <w:bCs/>
      <w:smallCaps/>
      <w:spacing w:val="5"/>
    </w:rPr>
  </w:style>
  <w:style w:type="paragraph" w:styleId="TOC1">
    <w:name w:val="toc 1"/>
    <w:basedOn w:val="Normal"/>
    <w:next w:val="Normal"/>
    <w:autoRedefine/>
    <w:uiPriority w:val="39"/>
    <w:unhideWhenUsed/>
    <w:rsid w:val="008F5B2F"/>
    <w:pPr>
      <w:spacing w:before="120"/>
    </w:pPr>
    <w:rPr>
      <w:rFonts w:asciiTheme="minorHAnsi" w:hAnsiTheme="minorHAnsi"/>
      <w:b/>
    </w:rPr>
  </w:style>
  <w:style w:type="paragraph" w:styleId="TOC2">
    <w:name w:val="toc 2"/>
    <w:basedOn w:val="Normal"/>
    <w:next w:val="Normal"/>
    <w:autoRedefine/>
    <w:uiPriority w:val="39"/>
    <w:unhideWhenUsed/>
    <w:rsid w:val="008F5B2F"/>
    <w:pPr>
      <w:ind w:left="240"/>
    </w:pPr>
    <w:rPr>
      <w:rFonts w:asciiTheme="minorHAnsi" w:hAnsiTheme="minorHAnsi"/>
      <w:b/>
      <w:sz w:val="22"/>
      <w:szCs w:val="22"/>
    </w:rPr>
  </w:style>
  <w:style w:type="character" w:customStyle="1" w:styleId="FooterChar1">
    <w:name w:val="Footer Char1"/>
    <w:basedOn w:val="DefaultParagraphFont"/>
    <w:link w:val="Footer"/>
    <w:uiPriority w:val="99"/>
    <w:rsid w:val="008F5B2F"/>
    <w:rPr>
      <w:rFonts w:ascii="Helvetica" w:hAnsi="Helvetica"/>
      <w:sz w:val="24"/>
      <w:szCs w:val="24"/>
      <w:lang w:bidi="en-US"/>
    </w:rPr>
  </w:style>
  <w:style w:type="paragraph" w:styleId="ListParagraph">
    <w:name w:val="List Paragraph"/>
    <w:basedOn w:val="Normal"/>
    <w:uiPriority w:val="34"/>
    <w:qFormat/>
    <w:rsid w:val="008F5B2F"/>
    <w:pPr>
      <w:ind w:left="720"/>
      <w:contextualSpacing/>
    </w:pPr>
    <w:rPr>
      <w:rFonts w:eastAsiaTheme="minorEastAsia"/>
      <w:lang w:bidi="ar-SA"/>
    </w:rPr>
  </w:style>
  <w:style w:type="character" w:customStyle="1" w:styleId="CommentTextChar1">
    <w:name w:val="Comment Text Char1"/>
    <w:basedOn w:val="DefaultParagraphFont"/>
    <w:link w:val="CommentText"/>
    <w:semiHidden/>
    <w:rsid w:val="008F5B2F"/>
    <w:rPr>
      <w:rFonts w:ascii="Helvetica" w:hAnsi="Helvetica"/>
      <w:sz w:val="24"/>
      <w:szCs w:val="24"/>
      <w:lang w:bidi="en-US"/>
    </w:rPr>
  </w:style>
  <w:style w:type="character" w:customStyle="1" w:styleId="CommentSubjectChar1">
    <w:name w:val="Comment Subject Char1"/>
    <w:basedOn w:val="CommentTextChar1"/>
    <w:link w:val="CommentSubject"/>
    <w:semiHidden/>
    <w:rsid w:val="008F5B2F"/>
    <w:rPr>
      <w:rFonts w:ascii="Helvetica" w:hAnsi="Helvetica"/>
      <w:b/>
      <w:bCs/>
      <w:sz w:val="24"/>
      <w:szCs w:val="24"/>
      <w:lang w:bidi="en-US"/>
    </w:rPr>
  </w:style>
  <w:style w:type="character" w:customStyle="1" w:styleId="BalloonTextChar1">
    <w:name w:val="Balloon Text Char1"/>
    <w:basedOn w:val="DefaultParagraphFont"/>
    <w:link w:val="BalloonText"/>
    <w:uiPriority w:val="99"/>
    <w:semiHidden/>
    <w:rsid w:val="008F5B2F"/>
    <w:rPr>
      <w:rFonts w:ascii="Lucida Grande" w:hAnsi="Lucida Grande" w:cs="Lucida Grande"/>
      <w:sz w:val="18"/>
      <w:szCs w:val="18"/>
      <w:lang w:bidi="en-US"/>
    </w:rPr>
  </w:style>
  <w:style w:type="paragraph" w:styleId="TOC3">
    <w:name w:val="toc 3"/>
    <w:basedOn w:val="Normal"/>
    <w:next w:val="Normal"/>
    <w:autoRedefine/>
    <w:uiPriority w:val="39"/>
    <w:unhideWhenUsed/>
    <w:rsid w:val="008F5B2F"/>
    <w:pPr>
      <w:ind w:left="480"/>
    </w:pPr>
    <w:rPr>
      <w:rFonts w:asciiTheme="minorHAnsi" w:hAnsiTheme="minorHAnsi"/>
      <w:sz w:val="22"/>
      <w:szCs w:val="22"/>
    </w:rPr>
  </w:style>
  <w:style w:type="paragraph" w:styleId="TOC4">
    <w:name w:val="toc 4"/>
    <w:basedOn w:val="Normal"/>
    <w:next w:val="Normal"/>
    <w:autoRedefine/>
    <w:uiPriority w:val="39"/>
    <w:unhideWhenUsed/>
    <w:rsid w:val="008F5B2F"/>
    <w:pPr>
      <w:ind w:left="720"/>
    </w:pPr>
    <w:rPr>
      <w:rFonts w:asciiTheme="minorHAnsi" w:hAnsiTheme="minorHAnsi"/>
      <w:sz w:val="20"/>
      <w:szCs w:val="20"/>
    </w:rPr>
  </w:style>
  <w:style w:type="paragraph" w:styleId="TOC5">
    <w:name w:val="toc 5"/>
    <w:basedOn w:val="Normal"/>
    <w:next w:val="Normal"/>
    <w:autoRedefine/>
    <w:uiPriority w:val="39"/>
    <w:unhideWhenUsed/>
    <w:rsid w:val="008F5B2F"/>
    <w:pPr>
      <w:ind w:left="960"/>
    </w:pPr>
    <w:rPr>
      <w:rFonts w:asciiTheme="minorHAnsi" w:hAnsiTheme="minorHAnsi"/>
      <w:sz w:val="20"/>
      <w:szCs w:val="20"/>
    </w:rPr>
  </w:style>
  <w:style w:type="paragraph" w:styleId="TOC6">
    <w:name w:val="toc 6"/>
    <w:basedOn w:val="Normal"/>
    <w:next w:val="Normal"/>
    <w:autoRedefine/>
    <w:uiPriority w:val="39"/>
    <w:unhideWhenUsed/>
    <w:rsid w:val="008F5B2F"/>
    <w:pPr>
      <w:ind w:left="1200"/>
    </w:pPr>
    <w:rPr>
      <w:rFonts w:asciiTheme="minorHAnsi" w:hAnsiTheme="minorHAnsi"/>
      <w:sz w:val="20"/>
      <w:szCs w:val="20"/>
    </w:rPr>
  </w:style>
  <w:style w:type="paragraph" w:styleId="TOC7">
    <w:name w:val="toc 7"/>
    <w:basedOn w:val="Normal"/>
    <w:next w:val="Normal"/>
    <w:autoRedefine/>
    <w:uiPriority w:val="39"/>
    <w:unhideWhenUsed/>
    <w:rsid w:val="008F5B2F"/>
    <w:pPr>
      <w:ind w:left="1440"/>
    </w:pPr>
    <w:rPr>
      <w:rFonts w:asciiTheme="minorHAnsi" w:hAnsiTheme="minorHAnsi"/>
      <w:sz w:val="20"/>
      <w:szCs w:val="20"/>
    </w:rPr>
  </w:style>
  <w:style w:type="paragraph" w:styleId="TOC8">
    <w:name w:val="toc 8"/>
    <w:basedOn w:val="Normal"/>
    <w:next w:val="Normal"/>
    <w:autoRedefine/>
    <w:uiPriority w:val="39"/>
    <w:unhideWhenUsed/>
    <w:rsid w:val="008F5B2F"/>
    <w:pPr>
      <w:ind w:left="1680"/>
    </w:pPr>
    <w:rPr>
      <w:rFonts w:asciiTheme="minorHAnsi" w:hAnsiTheme="minorHAnsi"/>
      <w:sz w:val="20"/>
      <w:szCs w:val="20"/>
    </w:rPr>
  </w:style>
  <w:style w:type="paragraph" w:styleId="TOC9">
    <w:name w:val="toc 9"/>
    <w:basedOn w:val="Normal"/>
    <w:next w:val="Normal"/>
    <w:autoRedefine/>
    <w:uiPriority w:val="39"/>
    <w:unhideWhenUsed/>
    <w:rsid w:val="008F5B2F"/>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38968">
      <w:bodyDiv w:val="1"/>
      <w:marLeft w:val="0"/>
      <w:marRight w:val="0"/>
      <w:marTop w:val="0"/>
      <w:marBottom w:val="0"/>
      <w:divBdr>
        <w:top w:val="none" w:sz="0" w:space="0" w:color="auto"/>
        <w:left w:val="none" w:sz="0" w:space="0" w:color="auto"/>
        <w:bottom w:val="none" w:sz="0" w:space="0" w:color="auto"/>
        <w:right w:val="none" w:sz="0" w:space="0" w:color="auto"/>
      </w:divBdr>
    </w:div>
    <w:div w:id="819269598">
      <w:bodyDiv w:val="1"/>
      <w:marLeft w:val="0"/>
      <w:marRight w:val="0"/>
      <w:marTop w:val="0"/>
      <w:marBottom w:val="0"/>
      <w:divBdr>
        <w:top w:val="none" w:sz="0" w:space="0" w:color="auto"/>
        <w:left w:val="none" w:sz="0" w:space="0" w:color="auto"/>
        <w:bottom w:val="none" w:sz="0" w:space="0" w:color="auto"/>
        <w:right w:val="none" w:sz="0" w:space="0" w:color="auto"/>
      </w:divBdr>
      <w:divsChild>
        <w:div w:id="23554887">
          <w:marLeft w:val="0"/>
          <w:marRight w:val="0"/>
          <w:marTop w:val="0"/>
          <w:marBottom w:val="0"/>
          <w:divBdr>
            <w:top w:val="none" w:sz="0" w:space="0" w:color="auto"/>
            <w:left w:val="none" w:sz="0" w:space="0" w:color="auto"/>
            <w:bottom w:val="none" w:sz="0" w:space="0" w:color="auto"/>
            <w:right w:val="none" w:sz="0" w:space="0" w:color="auto"/>
          </w:divBdr>
          <w:divsChild>
            <w:div w:id="1252931691">
              <w:marLeft w:val="0"/>
              <w:marRight w:val="0"/>
              <w:marTop w:val="0"/>
              <w:marBottom w:val="0"/>
              <w:divBdr>
                <w:top w:val="none" w:sz="0" w:space="0" w:color="auto"/>
                <w:left w:val="none" w:sz="0" w:space="0" w:color="auto"/>
                <w:bottom w:val="none" w:sz="0" w:space="0" w:color="auto"/>
                <w:right w:val="none" w:sz="0" w:space="0" w:color="auto"/>
              </w:divBdr>
              <w:divsChild>
                <w:div w:id="11367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9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abriel-zucman.eu/files/JohannesenZucman2014.pdf" TargetMode="External"/><Relationship Id="rId21" Type="http://schemas.openxmlformats.org/officeDocument/2006/relationships/hyperlink" Target="http://gabriel-zucman.eu/files/JohannesenZucman2014" TargetMode="External"/><Relationship Id="rId22" Type="http://schemas.openxmlformats.org/officeDocument/2006/relationships/hyperlink" Target="http://www.estv.admin.ch/intsteuerrecht/themen/01319/01328/index.html?lang=fr" TargetMode="External"/><Relationship Id="rId23" Type="http://schemas.openxmlformats.org/officeDocument/2006/relationships/hyperlink" Target="http://gabriel-zucman.eu/files/Zucman2014JEP.pdf" TargetMode="External"/><Relationship Id="rId24" Type="http://schemas.openxmlformats.org/officeDocument/2006/relationships/hyperlink" Target="http://gabriel-zucman.eu/files/Zucman2014JEPdata.xlsx" TargetMode="External"/><Relationship Id="rId25" Type="http://schemas.openxmlformats.org/officeDocument/2006/relationships/hyperlink" Target="http://piketty.pse.ens.fr/en/files/Roussille2015.pdf" TargetMode="External"/><Relationship Id="rId26" Type="http://schemas.openxmlformats.org/officeDocument/2006/relationships/hyperlink" Target="http://gallica.bnf.fr/ark:/12148/bpt6k6454789z/f19.image" TargetMode="External"/><Relationship Id="rId27" Type="http://schemas.openxmlformats.org/officeDocument/2006/relationships/hyperlink" Target="http://qje.oxfordjournals.org/cgi/reprint/qjt012?%20ijkey=tKCye40qD7z9n8g&amp;keytype=ref" TargetMode="External"/><Relationship Id="rId28" Type="http://schemas.openxmlformats.org/officeDocument/2006/relationships/hyperlink" Target="http://gabriel-zucman.eu/files/JohannesenZucman2014" TargetMode="External"/><Relationship Id="rId29" Type="http://schemas.openxmlformats.org/officeDocument/2006/relationships/hyperlink" Target="http://www.nielsjohannesen.net/wp-content/uploads/2012/11/Tax-evasion-and-Swiss-bank-deposits_RESUBMISSION_JPubE.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gabriel-zucman.eu/files/Zucman2013LivreLuxembourg.xlsx" TargetMode="External"/><Relationship Id="rId31" Type="http://schemas.openxmlformats.org/officeDocument/2006/relationships/hyperlink" Target="http://www.statistiques.public.lu/" TargetMode="External"/><Relationship Id="rId32" Type="http://schemas.openxmlformats.org/officeDocument/2006/relationships/footer" Target="footer1.xml"/><Relationship Id="rId9" Type="http://schemas.openxmlformats.org/officeDocument/2006/relationships/hyperlink" Target="http://gabriel-zucman.eu/files/Zucman2013LivreSuisse.xlsx" TargetMode="External"/><Relationship Id="rId6" Type="http://schemas.openxmlformats.org/officeDocument/2006/relationships/endnotes" Target="endnotes.xml"/><Relationship Id="rId7" Type="http://schemas.openxmlformats.org/officeDocument/2006/relationships/hyperlink" Target="http://gabriel-zucman.eu/hidden-wealth/" TargetMode="External"/><Relationship Id="rId8" Type="http://schemas.openxmlformats.org/officeDocument/2006/relationships/hyperlink" Target="http://www.gabriel-zucman.eu/files/Zucman2013LivreSuisse.xlsx"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gabriel-zucman.eu/files/Zucman2013DataAppendix.pdf" TargetMode="External"/><Relationship Id="rId11" Type="http://schemas.openxmlformats.org/officeDocument/2006/relationships/hyperlink" Target="http://gabriel-zucman.eu/files/Zucman2013LivreSuisse.xlsx" TargetMode="External"/><Relationship Id="rId12" Type="http://schemas.openxmlformats.org/officeDocument/2006/relationships/hyperlink" Target="http://gabriel-zucman.eu/files/Zucman2014JEPdata.xlsx" TargetMode="External"/><Relationship Id="rId13" Type="http://schemas.openxmlformats.org/officeDocument/2006/relationships/hyperlink" Target="http://gabriel-zucman.eu/files/Zucman2014JEP.pdf" TargetMode="External"/><Relationship Id="rId14" Type="http://schemas.openxmlformats.org/officeDocument/2006/relationships/hyperlink" Target="http://qje.oxfordjournals.org/cgi/reprint/qjt012?%20ijkey=tKCye40qD7z9n8g&amp;keytype=ref" TargetMode="External"/><Relationship Id="rId15" Type="http://schemas.openxmlformats.org/officeDocument/2006/relationships/hyperlink" Target="http://gabriel-zucman.eu/files/Zucman2013DataAppendix.pdf" TargetMode="External"/><Relationship Id="rId16" Type="http://schemas.openxmlformats.org/officeDocument/2006/relationships/hyperlink" Target="http://gabriel-zucman.eu/files/Zucman2013LivreMissingWealth.xlsx" TargetMode="External"/><Relationship Id="rId17" Type="http://schemas.openxmlformats.org/officeDocument/2006/relationships/hyperlink" Target="Tables%20and%20figures%20included%20in%20the%20book" TargetMode="External"/><Relationship Id="rId18" Type="http://schemas.openxmlformats.org/officeDocument/2006/relationships/hyperlink" Target="http://gabriel-zucman.eu/capitalisback/" TargetMode="External"/><Relationship Id="rId19" Type="http://schemas.openxmlformats.org/officeDocument/2006/relationships/hyperlink" Target="http://gabriel-zucman.eu/files/Zucman2013QJ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5002</Words>
  <Characters>28515</Characters>
  <Application>Microsoft Macintosh Word</Application>
  <DocSecurity>0</DocSecurity>
  <Lines>237</Lines>
  <Paragraphs>66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Un siècle de finance offshore</vt:lpstr>
      <vt:lpstr>Chapter 1: A Century of Offshore Finance</vt:lpstr>
      <vt:lpstr>    Data from the Volcker and Bergier Commissions </vt:lpstr>
      <vt:lpstr>    Official Swiss National Bank data </vt:lpstr>
      <vt:lpstr>Chapter 2: The Missing Wealth of Nations</vt:lpstr>
      <vt:lpstr>    </vt:lpstr>
      <vt:lpstr>    Update of Zucman. G “Missing Wealth of Nations” (QJE’2013)</vt:lpstr>
      <vt:lpstr>    World income and financial wealth in 2013 </vt:lpstr>
      <vt:lpstr>    BIS data on offshore bank deposits</vt:lpstr>
      <vt:lpstr>    Currency in circulation globally</vt:lpstr>
      <vt:lpstr>    Fraction of offshore wealth which is not declared on tax returns</vt:lpstr>
      <vt:lpstr>    Mutual fund returns</vt:lpstr>
      <vt:lpstr>Chapter 3: Mistakes</vt:lpstr>
      <vt:lpstr>    The birth of automatic exchange of bank information.</vt:lpstr>
      <vt:lpstr>    The Saving Tax Directive</vt:lpstr>
      <vt:lpstr>Chapter 4: What to do? A New Approach </vt:lpstr>
      <vt:lpstr>    Data on the Luxembourg Economy (in French)</vt:lpstr>
      <vt:lpstr>    Supplementary Data on Luxembourg </vt:lpstr>
      <vt:lpstr>Errata</vt:lpstr>
    </vt:vector>
  </TitlesOfParts>
  <Company/>
  <LinksUpToDate>false</LinksUpToDate>
  <CharactersWithSpaces>33451</CharactersWithSpaces>
  <SharedDoc>false</SharedDoc>
  <HLinks>
    <vt:vector size="6" baseType="variant">
      <vt:variant>
        <vt:i4>589845</vt:i4>
      </vt:variant>
      <vt:variant>
        <vt:i4>0</vt:i4>
      </vt:variant>
      <vt:variant>
        <vt:i4>0</vt:i4>
      </vt:variant>
      <vt:variant>
        <vt:i4>5</vt:i4>
      </vt:variant>
      <vt:variant>
        <vt:lpwstr>http://www.liberation.fr/economie/2013/04/29/eradiquer-les-paradis-fiscaux-rendrait-la-rigueur-inutile_899872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siècle de finance offshore</dc:title>
  <dc:subject/>
  <dc:creator>Gabriel Zucman</dc:creator>
  <cp:keywords/>
  <cp:lastModifiedBy>Gabriel Zucman</cp:lastModifiedBy>
  <cp:revision>60</cp:revision>
  <cp:lastPrinted>2013-11-24T00:53:00Z</cp:lastPrinted>
  <dcterms:created xsi:type="dcterms:W3CDTF">2015-09-17T19:10:00Z</dcterms:created>
  <dcterms:modified xsi:type="dcterms:W3CDTF">2015-09-17T20:56:00Z</dcterms:modified>
</cp:coreProperties>
</file>